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r/>
    </w:p>
    <w:p>
      <w:pPr>
        <w:pStyle w:val="Title"/>
        <w:spacing w:after="360"/>
        <w:jc w:val="center"/>
      </w:pPr>
      <w:r>
        <w:rPr>
          <w:rFonts w:ascii="Arial" w:hAnsi="Arial"/>
          <w:b/>
          <w:color w:val="000000"/>
          <w:sz w:val="48"/>
        </w:rPr>
        <w:t>Research Objective Mapping</w:t>
      </w:r>
    </w:p>
    <w:p>
      <w:pPr>
        <w:spacing w:after="760" w:line="283" w:lineRule="auto"/>
        <w:jc w:val="center"/>
      </w:pPr>
      <w:r>
        <w:rPr>
          <w:rFonts w:ascii="Arial" w:hAnsi="Arial"/>
          <w:b w:val="0"/>
          <w:color w:val="202020"/>
          <w:sz w:val="28"/>
        </w:rPr>
        <w:t>An Explainable Deployment Aware and Cost Sensitive Machine Learning Framework</w:t>
        <w:br/>
        <w:t>for Bank Term Deposit Subscription Prediction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8496"/>
            <w:gridSpan w:val="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21"/>
              </w:rPr>
              <w:t>Project Submission</w:t>
            </w:r>
          </w:p>
        </w:tc>
      </w:tr>
      <w:tr>
        <w:trPr>
          <w:cantSplit/>
        </w:trPr>
        <w:tc>
          <w:tcPr>
            <w:tcW w:type="dxa" w:w="302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20"/>
              </w:rPr>
              <w:t>Student Name</w:t>
            </w:r>
          </w:p>
        </w:tc>
        <w:tc>
          <w:tcPr>
            <w:tcW w:type="dxa" w:w="54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20"/>
              </w:rPr>
              <w:t>Kedar Kenjalkar</w:t>
            </w:r>
          </w:p>
        </w:tc>
      </w:tr>
      <w:tr>
        <w:trPr>
          <w:cantSplit/>
        </w:trPr>
        <w:tc>
          <w:tcPr>
            <w:tcW w:type="dxa" w:w="302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20"/>
              </w:rPr>
              <w:t>Roll Number</w:t>
            </w:r>
          </w:p>
        </w:tc>
        <w:tc>
          <w:tcPr>
            <w:tcW w:type="dxa" w:w="547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20"/>
              </w:rPr>
              <w:t>26MAI0007</w:t>
            </w:r>
          </w:p>
        </w:tc>
      </w:tr>
      <w:tr>
        <w:trPr>
          <w:cantSplit/>
        </w:trPr>
        <w:tc>
          <w:tcPr>
            <w:tcW w:type="dxa" w:w="302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20"/>
              </w:rPr>
              <w:t>Subject</w:t>
            </w:r>
          </w:p>
        </w:tc>
        <w:tc>
          <w:tcPr>
            <w:tcW w:type="dxa" w:w="54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20"/>
              </w:rPr>
              <w:t>Machine Learning and Applications</w:t>
            </w:r>
          </w:p>
        </w:tc>
      </w:tr>
      <w:tr>
        <w:trPr>
          <w:cantSplit/>
        </w:trPr>
        <w:tc>
          <w:tcPr>
            <w:tcW w:type="dxa" w:w="302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20"/>
              </w:rPr>
              <w:t>Document</w:t>
            </w:r>
          </w:p>
        </w:tc>
        <w:tc>
          <w:tcPr>
            <w:tcW w:type="dxa" w:w="547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20"/>
              </w:rPr>
              <w:t>Research Objective Mapping</w:t>
            </w:r>
          </w:p>
        </w:tc>
      </w:tr>
      <w:tr>
        <w:trPr>
          <w:cantSplit/>
        </w:trPr>
        <w:tc>
          <w:tcPr>
            <w:tcW w:type="dxa" w:w="302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20"/>
              </w:rPr>
              <w:t>Submission Date</w:t>
            </w:r>
          </w:p>
        </w:tc>
        <w:tc>
          <w:tcPr>
            <w:tcW w:type="dxa" w:w="54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20"/>
              </w:rPr>
              <w:t>26 October 2026</w:t>
            </w:r>
          </w:p>
        </w:tc>
      </w:tr>
    </w:tbl>
    <w:p>
      <w:pPr>
        <w:spacing w:before="720"/>
        <w:jc w:val="center"/>
      </w:pPr>
      <w:r>
        <w:rPr>
          <w:rFonts w:ascii="Arial" w:hAnsi="Arial"/>
          <w:i/>
          <w:color w:val="595959"/>
          <w:sz w:val="20"/>
        </w:rPr>
        <w:t>Prepared for academic review and project approval</w:t>
      </w:r>
    </w:p>
    <w:p>
      <w:r>
        <w:br w:type="page"/>
      </w:r>
    </w:p>
    <w:p>
      <w:pPr>
        <w:pStyle w:val="Heading1"/>
        <w:keepNext/>
        <w:spacing w:before="200" w:after="100"/>
      </w:pPr>
      <w:r>
        <w:rPr>
          <w:rFonts w:ascii="Arial" w:hAnsi="Arial"/>
          <w:b/>
          <w:color w:val="000000"/>
          <w:sz w:val="30"/>
        </w:rPr>
        <w:t>Abstract</w:t>
      </w:r>
    </w:p>
    <w:p>
      <w:pPr>
        <w:spacing w:after="160" w:line="269" w:lineRule="auto"/>
        <w:jc w:val="both"/>
      </w:pPr>
      <w:r>
        <w:rPr>
          <w:rFonts w:ascii="Arial" w:hAnsi="Arial"/>
          <w:color w:val="202020"/>
          <w:sz w:val="20"/>
        </w:rPr>
        <w:t>Bank telemarketing data is often used to compare classification algorithms, but a high accuracy score does not establish that a model can support decisions before a customer is called. This project develops a reproducible machine learning framework for predicting whether a client will subscribe to a bank term deposit while respecting the information available at campaign-planning time. The study uses the UCI Bank Marketing data supplied in a 4,521-record sample file and a 45,211-record full file. Because the sample is contained in the full file, ingestion and duplicate removal produce 45,211 unique observations. The primary model excludes call duration because that value is known only after the current call; a separate duration-inclusive experiment measures the performance inflation caused by this post-contact variable. Logistic Regression and a Decision Tree provide interpretable baselines, while Random Forest and XGBoost represent the principal ensemble models. Eight features are derived from the existing variables to describe prior contact, campaign pressure, debt exposure, recency, season and balance level. Evaluation emphasizes precision-recall area under the curve, subscription recall, F1 score, probability calibration and campaign cost rather than overall accuracy alone. The research extension compares raw and engineered features, class-imbalance strategies, fixed and cost-aware thresholds, calibrated and uncalibrated probabilities, random and ordered holdouts, and performance across broad age groups. SHAP explanations will connect predictions to customer attributes without treating the model as a substitute for human campaign policy. The final output will include a verified multi-file ingestion pipeline, trained models, an experiment report and a decision-support application that ranks customers according to predicted subscription probability and campaign capacity.</w:t>
      </w:r>
    </w:p>
    <w:p>
      <w:pPr>
        <w:spacing w:before="80" w:after="240"/>
      </w:pPr>
      <w:r>
        <w:rPr>
          <w:rFonts w:ascii="Arial" w:hAnsi="Arial"/>
          <w:b/>
          <w:color w:val="202020"/>
          <w:sz w:val="19"/>
        </w:rPr>
        <w:t xml:space="preserve">Keywords  </w:t>
      </w:r>
      <w:r>
        <w:rPr>
          <w:rFonts w:ascii="Arial" w:hAnsi="Arial"/>
          <w:i/>
          <w:color w:val="202020"/>
          <w:sz w:val="19"/>
        </w:rPr>
        <w:t>bank marketing, term deposit subscription, imbalanced classification, deployment validity, Random Forest, XGBoost, probability calibration, explainable machine learning</w:t>
      </w:r>
    </w:p>
    <w:p>
      <w:pPr>
        <w:pStyle w:val="Heading1"/>
        <w:keepNext/>
        <w:spacing w:before="200" w:after="100"/>
      </w:pPr>
      <w:r>
        <w:rPr>
          <w:rFonts w:ascii="Arial" w:hAnsi="Arial"/>
          <w:b/>
          <w:color w:val="000000"/>
          <w:sz w:val="30"/>
        </w:rPr>
        <w:t>Document Purpose</w:t>
      </w:r>
    </w:p>
    <w:p>
      <w:pPr>
        <w:spacing w:after="120" w:line="269" w:lineRule="auto"/>
        <w:jc w:val="both"/>
      </w:pPr>
      <w:r>
        <w:rPr>
          <w:rFonts w:ascii="Arial" w:hAnsi="Arial"/>
          <w:color w:val="202020"/>
          <w:sz w:val="20"/>
        </w:rPr>
        <w:t>This document maps every research objective to a research question, hypothesis, dataset use, experimental method, evaluation measure and deliverable. It also separates the work already implemented from the additional experiments that constitute the research contribution.</w:t>
      </w:r>
    </w:p>
    <w:p>
      <w:r>
        <w:br w:type="page"/>
      </w:r>
    </w:p>
    <w:p>
      <w:pPr>
        <w:pStyle w:val="Heading1"/>
        <w:keepNext/>
        <w:spacing w:before="200" w:after="100"/>
      </w:pPr>
      <w:r>
        <w:rPr>
          <w:rFonts w:ascii="Arial" w:hAnsi="Arial"/>
          <w:b/>
          <w:color w:val="000000"/>
          <w:sz w:val="30"/>
        </w:rPr>
        <w:t>1 Project Definition</w:t>
      </w:r>
    </w:p>
    <w:p>
      <w:pPr>
        <w:pStyle w:val="Heading2"/>
        <w:keepNext/>
        <w:spacing w:before="140" w:after="100"/>
      </w:pPr>
      <w:r>
        <w:rPr>
          <w:rFonts w:ascii="Arial" w:hAnsi="Arial"/>
          <w:b/>
          <w:color w:val="000000"/>
          <w:sz w:val="23"/>
        </w:rPr>
        <w:t>1 1 Problem Statement</w:t>
      </w:r>
    </w:p>
    <w:p>
      <w:pPr>
        <w:spacing w:after="120" w:line="269" w:lineRule="auto"/>
        <w:jc w:val="both"/>
      </w:pPr>
      <w:r>
        <w:rPr>
          <w:rFonts w:ascii="Arial" w:hAnsi="Arial"/>
          <w:color w:val="202020"/>
          <w:sz w:val="20"/>
        </w:rPr>
        <w:t>The bank must decide which clients should receive a term-deposit marketing call. Calling every client wastes staff time, while overlooking likely subscribers reduces campaign yield. The machine learning task is therefore a binary classification problem: estimate the probability that a client will subscribe, using only information that can legitimately be known when the contact decision is made.</w:t>
      </w:r>
    </w:p>
    <w:p>
      <w:pPr>
        <w:spacing w:after="120" w:line="269" w:lineRule="auto"/>
        <w:jc w:val="both"/>
      </w:pPr>
      <w:r>
        <w:rPr>
          <w:rFonts w:ascii="Arial" w:hAnsi="Arial"/>
          <w:color w:val="202020"/>
          <w:sz w:val="20"/>
        </w:rPr>
        <w:t>The dataset is imbalanced. Only 5,289 of 45,211 unique records are positive subscriptions, which is approximately 11.7 percent. A model that predicts no subscription for every client would appear accurate but would be useless for customer selection. The project therefore gives priority to positive-class recall, precision, F1 score and precision-recall area under the curve.</w:t>
      </w:r>
    </w:p>
    <w:p>
      <w:pPr>
        <w:pStyle w:val="Heading2"/>
        <w:keepNext/>
        <w:spacing w:before="140" w:after="100"/>
      </w:pPr>
      <w:r>
        <w:rPr>
          <w:rFonts w:ascii="Arial" w:hAnsi="Arial"/>
          <w:b/>
          <w:color w:val="000000"/>
          <w:sz w:val="23"/>
        </w:rPr>
        <w:t>1 2 Main Research Aim</w:t>
      </w:r>
    </w:p>
    <w:p>
      <w:pPr>
        <w:spacing w:after="120" w:line="269" w:lineRule="auto"/>
        <w:jc w:val="both"/>
      </w:pPr>
      <w:r>
        <w:rPr>
          <w:rFonts w:ascii="Arial" w:hAnsi="Arial"/>
          <w:color w:val="202020"/>
          <w:sz w:val="20"/>
        </w:rPr>
        <w:t>The main aim is to develop and evaluate an explainable, deployment-valid and cost-sensitive classification framework that identifies likely term-deposit subscribers more effectively than simple rule-based targeting, while reporting the limitations and operational consequences of each modelling choice.</w:t>
      </w:r>
    </w:p>
    <w:p>
      <w:pPr>
        <w:pStyle w:val="Heading2"/>
        <w:keepNext/>
        <w:spacing w:before="140" w:after="100"/>
      </w:pPr>
      <w:r>
        <w:rPr>
          <w:rFonts w:ascii="Arial" w:hAnsi="Arial"/>
          <w:b/>
          <w:color w:val="000000"/>
          <w:sz w:val="23"/>
        </w:rPr>
        <w:t>1 3 Scope Boundary</w:t>
      </w:r>
    </w:p>
    <w:p>
      <w:pPr>
        <w:pStyle w:val="ListBullet"/>
        <w:spacing w:after="60" w:line="259" w:lineRule="auto"/>
      </w:pPr>
      <w:r>
        <w:rPr>
          <w:rFonts w:ascii="Arial" w:hAnsi="Arial"/>
          <w:color w:val="202020"/>
          <w:sz w:val="19"/>
        </w:rPr>
        <w:t>The model predicts subscription propensity; it does not approve credit, set interest rates or make a legally binding financial decision.</w:t>
      </w:r>
    </w:p>
    <w:p>
      <w:pPr>
        <w:pStyle w:val="ListBullet"/>
        <w:spacing w:after="60" w:line="259" w:lineRule="auto"/>
      </w:pPr>
      <w:r>
        <w:rPr>
          <w:rFonts w:ascii="Arial" w:hAnsi="Arial"/>
          <w:color w:val="202020"/>
          <w:sz w:val="19"/>
        </w:rPr>
        <w:t>The primary use case is pre-call ranking. Call duration is excluded from that model because it is unavailable before the call ends.</w:t>
      </w:r>
    </w:p>
    <w:p>
      <w:pPr>
        <w:pStyle w:val="ListBullet"/>
        <w:spacing w:after="60" w:line="259" w:lineRule="auto"/>
      </w:pPr>
      <w:r>
        <w:rPr>
          <w:rFonts w:ascii="Arial" w:hAnsi="Arial"/>
          <w:color w:val="202020"/>
          <w:sz w:val="19"/>
        </w:rPr>
        <w:t>The project uses the supplied UCI Bank Marketing variables and derived features. No new external customer data is claimed in the current implementation.</w:t>
      </w:r>
    </w:p>
    <w:p>
      <w:pPr>
        <w:pStyle w:val="ListBullet"/>
        <w:spacing w:after="60" w:line="259" w:lineRule="auto"/>
      </w:pPr>
      <w:r>
        <w:rPr>
          <w:rFonts w:ascii="Arial" w:hAnsi="Arial"/>
          <w:color w:val="202020"/>
          <w:sz w:val="19"/>
        </w:rPr>
        <w:t>Model outputs support campaign planning and must be reviewed alongside business capacity, cost and fairness considerations.</w:t>
      </w:r>
    </w:p>
    <w:p>
      <w:pPr>
        <w:pStyle w:val="Heading1"/>
        <w:keepNext/>
        <w:spacing w:before="200" w:after="100"/>
      </w:pPr>
      <w:r>
        <w:rPr>
          <w:rFonts w:ascii="Arial" w:hAnsi="Arial"/>
          <w:b/>
          <w:color w:val="000000"/>
          <w:sz w:val="30"/>
        </w:rPr>
        <w:t>2 Use of the Previous Dataset</w:t>
      </w:r>
    </w:p>
    <w:p>
      <w:pPr>
        <w:spacing w:after="120" w:line="269" w:lineRule="auto"/>
        <w:jc w:val="both"/>
      </w:pPr>
      <w:r>
        <w:rPr>
          <w:rFonts w:ascii="Arial" w:hAnsi="Arial"/>
          <w:color w:val="202020"/>
          <w:sz w:val="20"/>
        </w:rPr>
        <w:t>Both supplied CSV files contain the same 17-column schema. The smaller file is a sample of the full dataset, not an independent second population. The pipeline accepts both files, detects the delimiter, validates the schema, normalizes text values, converts numeric fields and removes exact duplicates before any train-test split.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59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Dataset Stage</w:t>
            </w:r>
          </w:p>
        </w:tc>
        <w:tc>
          <w:tcPr>
            <w:tcW w:type="dxa" w:w="144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Records</w:t>
            </w:r>
          </w:p>
        </w:tc>
        <w:tc>
          <w:tcPr>
            <w:tcW w:type="dxa" w:w="576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Use in the Project</w:t>
            </w:r>
          </w:p>
        </w:tc>
      </w:tr>
      <w:tr>
        <w:trPr>
          <w:cantSplit/>
        </w:trPr>
        <w:tc>
          <w:tcPr>
            <w:tcW w:type="dxa" w:w="259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bank sample file</w:t>
            </w:r>
          </w:p>
        </w:tc>
        <w:tc>
          <w:tcPr>
            <w:tcW w:type="dxa" w:w="14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4,521</w:t>
            </w:r>
          </w:p>
        </w:tc>
        <w:tc>
          <w:tcPr>
            <w:tcW w:type="dxa" w:w="576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Schema testing, quick experiments and pipeline smoke tests</w:t>
            </w:r>
          </w:p>
        </w:tc>
      </w:tr>
      <w:tr>
        <w:trPr>
          <w:cantSplit/>
        </w:trPr>
        <w:tc>
          <w:tcPr>
            <w:tcW w:type="dxa" w:w="259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bank full file</w:t>
            </w:r>
          </w:p>
        </w:tc>
        <w:tc>
          <w:tcPr>
            <w:tcW w:type="dxa" w:w="14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45,211</w:t>
            </w:r>
          </w:p>
        </w:tc>
        <w:tc>
          <w:tcPr>
            <w:tcW w:type="dxa" w:w="576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Primary source for training and evaluation</w:t>
            </w:r>
          </w:p>
        </w:tc>
      </w:tr>
      <w:tr>
        <w:trPr>
          <w:cantSplit/>
        </w:trPr>
        <w:tc>
          <w:tcPr>
            <w:tcW w:type="dxa" w:w="259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Files concatenated</w:t>
            </w:r>
          </w:p>
        </w:tc>
        <w:tc>
          <w:tcPr>
            <w:tcW w:type="dxa" w:w="14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49,732</w:t>
            </w:r>
          </w:p>
        </w:tc>
        <w:tc>
          <w:tcPr>
            <w:tcW w:type="dxa" w:w="576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Temporary combined frame before duplicate removal</w:t>
            </w:r>
          </w:p>
        </w:tc>
      </w:tr>
      <w:tr>
        <w:trPr>
          <w:cantSplit/>
        </w:trPr>
        <w:tc>
          <w:tcPr>
            <w:tcW w:type="dxa" w:w="259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Duplicates removed</w:t>
            </w:r>
          </w:p>
        </w:tc>
        <w:tc>
          <w:tcPr>
            <w:tcW w:type="dxa" w:w="14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4,521</w:t>
            </w:r>
          </w:p>
        </w:tc>
        <w:tc>
          <w:tcPr>
            <w:tcW w:type="dxa" w:w="576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Prevents the sample records from receiving extra weight</w:t>
            </w:r>
          </w:p>
        </w:tc>
      </w:tr>
      <w:tr>
        <w:trPr>
          <w:cantSplit/>
        </w:trPr>
        <w:tc>
          <w:tcPr>
            <w:tcW w:type="dxa" w:w="259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Final unique dataset</w:t>
            </w:r>
          </w:p>
        </w:tc>
        <w:tc>
          <w:tcPr>
            <w:tcW w:type="dxa" w:w="14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45,211</w:t>
            </w:r>
          </w:p>
        </w:tc>
        <w:tc>
          <w:tcPr>
            <w:tcW w:type="dxa" w:w="576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Modelling dataset with 39,922 no and 5,289 yes outcomes</w:t>
            </w:r>
          </w:p>
        </w:tc>
      </w:tr>
      <w:tr>
        <w:trPr>
          <w:cantSplit/>
        </w:trPr>
        <w:tc>
          <w:tcPr>
            <w:tcW w:type="dxa" w:w="259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Training partition</w:t>
            </w:r>
          </w:p>
        </w:tc>
        <w:tc>
          <w:tcPr>
            <w:tcW w:type="dxa" w:w="14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36,168</w:t>
            </w:r>
          </w:p>
        </w:tc>
        <w:tc>
          <w:tcPr>
            <w:tcW w:type="dxa" w:w="576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Model fitting and training-derived feature cutoffs</w:t>
            </w:r>
          </w:p>
        </w:tc>
      </w:tr>
      <w:tr>
        <w:trPr>
          <w:cantSplit/>
        </w:trPr>
        <w:tc>
          <w:tcPr>
            <w:tcW w:type="dxa" w:w="259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Test partition</w:t>
            </w:r>
          </w:p>
        </w:tc>
        <w:tc>
          <w:tcPr>
            <w:tcW w:type="dxa" w:w="14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9,043</w:t>
            </w:r>
          </w:p>
        </w:tc>
        <w:tc>
          <w:tcPr>
            <w:tcW w:type="dxa" w:w="576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Held-out evaluation at the default 80 to 20 split</w:t>
            </w:r>
          </w:p>
        </w:tc>
      </w:tr>
    </w:tbl>
    <w:p>
      <w:pPr>
        <w:pStyle w:val="Heading2"/>
        <w:keepNext/>
        <w:spacing w:before="140" w:after="100"/>
      </w:pPr>
      <w:r>
        <w:rPr>
          <w:rFonts w:ascii="Arial" w:hAnsi="Arial"/>
          <w:b/>
          <w:color w:val="000000"/>
          <w:sz w:val="23"/>
        </w:rPr>
        <w:t>2 1 Existing Dataset Variables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088"/>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Variable Group</w:t>
            </w:r>
          </w:p>
        </w:tc>
        <w:tc>
          <w:tcPr>
            <w:tcW w:type="dxa" w:w="3096"/>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Variables</w:t>
            </w:r>
          </w:p>
        </w:tc>
        <w:tc>
          <w:tcPr>
            <w:tcW w:type="dxa" w:w="4608"/>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Role</w:t>
            </w:r>
          </w:p>
        </w:tc>
      </w:tr>
      <w:tr>
        <w:trPr>
          <w:cantSplit/>
        </w:trPr>
        <w:tc>
          <w:tcPr>
            <w:tcW w:type="dxa" w:w="208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Client profile</w:t>
            </w:r>
          </w:p>
        </w:tc>
        <w:tc>
          <w:tcPr>
            <w:tcW w:type="dxa" w:w="309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age, job, marital, education</w:t>
            </w:r>
          </w:p>
        </w:tc>
        <w:tc>
          <w:tcPr>
            <w:tcW w:type="dxa" w:w="460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Describes demographic and employment context</w:t>
            </w:r>
          </w:p>
        </w:tc>
      </w:tr>
      <w:tr>
        <w:trPr>
          <w:cantSplit/>
        </w:trPr>
        <w:tc>
          <w:tcPr>
            <w:tcW w:type="dxa" w:w="208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Financial position</w:t>
            </w:r>
          </w:p>
        </w:tc>
        <w:tc>
          <w:tcPr>
            <w:tcW w:type="dxa" w:w="309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default, balance, housing, loan</w:t>
            </w:r>
          </w:p>
        </w:tc>
        <w:tc>
          <w:tcPr>
            <w:tcW w:type="dxa" w:w="460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Represents account balance and existing debt commitments</w:t>
            </w:r>
          </w:p>
        </w:tc>
      </w:tr>
      <w:tr>
        <w:trPr>
          <w:cantSplit/>
        </w:trPr>
        <w:tc>
          <w:tcPr>
            <w:tcW w:type="dxa" w:w="208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Current contact</w:t>
            </w:r>
          </w:p>
        </w:tc>
        <w:tc>
          <w:tcPr>
            <w:tcW w:type="dxa" w:w="309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contact, day, month, campaign</w:t>
            </w:r>
          </w:p>
        </w:tc>
        <w:tc>
          <w:tcPr>
            <w:tcW w:type="dxa" w:w="460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Describes channel, timing and number of contacts in the current campaign</w:t>
            </w:r>
          </w:p>
        </w:tc>
      </w:tr>
      <w:tr>
        <w:trPr>
          <w:cantSplit/>
        </w:trPr>
        <w:tc>
          <w:tcPr>
            <w:tcW w:type="dxa" w:w="208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Previous campaign</w:t>
            </w:r>
          </w:p>
        </w:tc>
        <w:tc>
          <w:tcPr>
            <w:tcW w:type="dxa" w:w="309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pdays, previous, poutcome</w:t>
            </w:r>
          </w:p>
        </w:tc>
        <w:tc>
          <w:tcPr>
            <w:tcW w:type="dxa" w:w="460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Describes recency, frequency and result of earlier marketing contact</w:t>
            </w:r>
          </w:p>
        </w:tc>
      </w:tr>
      <w:tr>
        <w:trPr>
          <w:cantSplit/>
        </w:trPr>
        <w:tc>
          <w:tcPr>
            <w:tcW w:type="dxa" w:w="208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Post-call field</w:t>
            </w:r>
          </w:p>
        </w:tc>
        <w:tc>
          <w:tcPr>
            <w:tcW w:type="dxa" w:w="309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duration</w:t>
            </w:r>
          </w:p>
        </w:tc>
        <w:tc>
          <w:tcPr>
            <w:tcW w:type="dxa" w:w="460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Excluded from the primary pre-call model; used only in the leakage audit</w:t>
            </w:r>
          </w:p>
        </w:tc>
      </w:tr>
      <w:tr>
        <w:trPr>
          <w:cantSplit/>
        </w:trPr>
        <w:tc>
          <w:tcPr>
            <w:tcW w:type="dxa" w:w="208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Target</w:t>
            </w:r>
          </w:p>
        </w:tc>
        <w:tc>
          <w:tcPr>
            <w:tcW w:type="dxa" w:w="309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y</w:t>
            </w:r>
          </w:p>
        </w:tc>
        <w:tc>
          <w:tcPr>
            <w:tcW w:type="dxa" w:w="460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yes equals term-deposit subscription and no equals non-subscription</w:t>
            </w:r>
          </w:p>
        </w:tc>
      </w:tr>
    </w:tbl>
    <w:p>
      <w:pPr>
        <w:pStyle w:val="Heading1"/>
        <w:keepNext/>
        <w:spacing w:before="200" w:after="100"/>
      </w:pPr>
      <w:r>
        <w:rPr>
          <w:rFonts w:ascii="Arial" w:hAnsi="Arial"/>
          <w:b/>
          <w:color w:val="000000"/>
          <w:sz w:val="30"/>
        </w:rPr>
        <w:t>3 New Features Added by the Project</w:t>
      </w:r>
    </w:p>
    <w:p>
      <w:pPr>
        <w:spacing w:after="120" w:line="269" w:lineRule="auto"/>
        <w:jc w:val="both"/>
      </w:pPr>
      <w:r>
        <w:rPr>
          <w:rFonts w:ascii="Arial" w:hAnsi="Arial"/>
          <w:color w:val="202020"/>
          <w:sz w:val="20"/>
        </w:rPr>
        <w:t>The new features are derived from the previous dataset; they do not require an external data source. Their purpose is to represent campaign behaviour in forms that a classifier can learn more directly. All learned cutoffs are fitted on the training partition and then applied to the test partition to avoid leakage.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23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6"/>
              </w:rPr>
              <w:t>Engineered Feature</w:t>
            </w:r>
          </w:p>
        </w:tc>
        <w:tc>
          <w:tcPr>
            <w:tcW w:type="dxa" w:w="324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6"/>
              </w:rPr>
              <w:t>Definition</w:t>
            </w:r>
          </w:p>
        </w:tc>
        <w:tc>
          <w:tcPr>
            <w:tcW w:type="dxa" w:w="432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6"/>
              </w:rPr>
              <w:t>Reason for Addition</w:t>
            </w:r>
          </w:p>
        </w:tc>
      </w:tr>
      <w:tr>
        <w:trPr>
          <w:cantSplit/>
        </w:trPr>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was previously contacted</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1 when pdays is not minus 1; otherwise 0</w:t>
            </w:r>
          </w:p>
        </w:tc>
        <w:tc>
          <w:tcPr>
            <w:tcW w:type="dxa" w:w="43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Separates first-time prospects from clients with contact history</w:t>
            </w:r>
          </w:p>
        </w:tc>
      </w:tr>
      <w:tr>
        <w:trPr>
          <w:cantSplit/>
        </w:trPr>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previous success flag</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1 when poutcome equals success; otherwise 0</w:t>
            </w:r>
          </w:p>
        </w:tc>
        <w:tc>
          <w:tcPr>
            <w:tcW w:type="dxa" w:w="43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Makes the strongest prior-campaign outcome explicit</w:t>
            </w:r>
          </w:p>
        </w:tc>
      </w:tr>
      <w:tr>
        <w:trPr>
          <w:cantSplit/>
        </w:trPr>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total contact count</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campaign plus previous</w:t>
            </w:r>
          </w:p>
        </w:tc>
        <w:tc>
          <w:tcPr>
            <w:tcW w:type="dxa" w:w="43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Combines current and historical contact frequency</w:t>
            </w:r>
          </w:p>
        </w:tc>
      </w:tr>
      <w:tr>
        <w:trPr>
          <w:cantSplit/>
        </w:trPr>
        <w:tc>
          <w:tcPr>
            <w:tcW w:type="dxa" w:w="223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contact pressure</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campaign divided by previous plus 1</w:t>
            </w:r>
          </w:p>
        </w:tc>
        <w:tc>
          <w:tcPr>
            <w:tcW w:type="dxa" w:w="43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Approximates the intensity of current contact relative to prior history</w:t>
            </w:r>
          </w:p>
        </w:tc>
      </w:tr>
      <w:tr>
        <w:trPr>
          <w:cantSplit/>
        </w:trPr>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debt product count</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Count of yes across default, housing and loan</w:t>
            </w:r>
          </w:p>
        </w:tc>
        <w:tc>
          <w:tcPr>
            <w:tcW w:type="dxa" w:w="43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Summarizes concurrent debt-related commitments</w:t>
            </w:r>
          </w:p>
        </w:tc>
      </w:tr>
      <w:tr>
        <w:trPr>
          <w:cantSplit/>
        </w:trPr>
        <w:tc>
          <w:tcPr>
            <w:tcW w:type="dxa" w:w="223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recency band</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not contacted, 0 to 30, 31 to 90, or more than 90 days</w:t>
            </w:r>
          </w:p>
        </w:tc>
        <w:tc>
          <w:tcPr>
            <w:tcW w:type="dxa" w:w="43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Converts pdays into interpretable marketing recency groups</w:t>
            </w:r>
          </w:p>
        </w:tc>
      </w:tr>
      <w:tr>
        <w:trPr>
          <w:cantSplit/>
        </w:trPr>
        <w:tc>
          <w:tcPr>
            <w:tcW w:type="dxa" w:w="223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contact quarter</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Quarter derived from month</w:t>
            </w:r>
          </w:p>
        </w:tc>
        <w:tc>
          <w:tcPr>
            <w:tcW w:type="dxa" w:w="43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Captures broader seasonal campaign effects</w:t>
            </w:r>
          </w:p>
        </w:tc>
      </w:tr>
      <w:tr>
        <w:trPr>
          <w:cantSplit/>
        </w:trPr>
        <w:tc>
          <w:tcPr>
            <w:tcW w:type="dxa" w:w="223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balance segment</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Low, medium or high using training-set 33rd and 66th percentiles</w:t>
            </w:r>
          </w:p>
        </w:tc>
        <w:tc>
          <w:tcPr>
            <w:tcW w:type="dxa" w:w="43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Represents nonlinear balance effects without fixed arbitrary cutoffs</w:t>
            </w:r>
          </w:p>
        </w:tc>
      </w:tr>
    </w:tbl>
    <w:p>
      <w:pPr>
        <w:pStyle w:val="Heading2"/>
        <w:keepNext/>
        <w:spacing w:before="140" w:after="100"/>
      </w:pPr>
      <w:r>
        <w:rPr>
          <w:rFonts w:ascii="Arial" w:hAnsi="Arial"/>
          <w:b/>
          <w:color w:val="000000"/>
          <w:sz w:val="23"/>
        </w:rPr>
        <w:t>3 1 Additions Beyond Feature Engineering</w:t>
      </w:r>
    </w:p>
    <w:p>
      <w:pPr>
        <w:spacing w:after="120" w:line="269" w:lineRule="auto"/>
        <w:jc w:val="both"/>
      </w:pPr>
      <w:r>
        <w:rPr>
          <w:rFonts w:ascii="Arial" w:hAnsi="Arial"/>
          <w:color w:val="202020"/>
          <w:sz w:val="20"/>
        </w:rPr>
        <w:t>The project adds research procedures as well as variables. These procedures are central to the novelty because Random Forest and XGBoost are established algorithms. The contribution is the way the dataset is audited, evaluated and converted into a defensible pre-call decision system.</w:t>
      </w:r>
    </w:p>
    <w:p>
      <w:pPr>
        <w:pStyle w:val="ListBullet"/>
        <w:spacing w:after="60" w:line="259" w:lineRule="auto"/>
      </w:pPr>
      <w:r>
        <w:rPr>
          <w:rFonts w:ascii="Arial" w:hAnsi="Arial"/>
          <w:color w:val="202020"/>
          <w:sz w:val="19"/>
        </w:rPr>
        <w:t>A pre-call and post-call comparison that quantifies the effect of the duration variable.</w:t>
      </w:r>
    </w:p>
    <w:p>
      <w:pPr>
        <w:pStyle w:val="ListBullet"/>
        <w:spacing w:after="60" w:line="259" w:lineRule="auto"/>
      </w:pPr>
      <w:r>
        <w:rPr>
          <w:rFonts w:ascii="Arial" w:hAnsi="Arial"/>
          <w:color w:val="202020"/>
          <w:sz w:val="19"/>
        </w:rPr>
        <w:t>An ablation study comparing original variables with original plus engineered variables.</w:t>
      </w:r>
    </w:p>
    <w:p>
      <w:pPr>
        <w:pStyle w:val="ListBullet"/>
        <w:spacing w:after="60" w:line="259" w:lineRule="auto"/>
      </w:pPr>
      <w:r>
        <w:rPr>
          <w:rFonts w:ascii="Arial" w:hAnsi="Arial"/>
          <w:color w:val="202020"/>
          <w:sz w:val="19"/>
        </w:rPr>
        <w:t>Imbalance-aware model training and precision-recall evaluation.</w:t>
      </w:r>
    </w:p>
    <w:p>
      <w:pPr>
        <w:pStyle w:val="ListBullet"/>
        <w:spacing w:after="60" w:line="259" w:lineRule="auto"/>
      </w:pPr>
      <w:r>
        <w:rPr>
          <w:rFonts w:ascii="Arial" w:hAnsi="Arial"/>
          <w:color w:val="202020"/>
          <w:sz w:val="19"/>
        </w:rPr>
        <w:t>Cost-aware and capacity-aware threshold selection instead of relying only on 0.50.</w:t>
      </w:r>
    </w:p>
    <w:p>
      <w:pPr>
        <w:pStyle w:val="ListBullet"/>
        <w:spacing w:after="60" w:line="259" w:lineRule="auto"/>
      </w:pPr>
      <w:r>
        <w:rPr>
          <w:rFonts w:ascii="Arial" w:hAnsi="Arial"/>
          <w:color w:val="202020"/>
          <w:sz w:val="19"/>
        </w:rPr>
        <w:t>Probability calibration, SHAP explanations, ordered holdout testing and an age-group fairness audit.</w:t>
      </w:r>
    </w:p>
    <w:p>
      <w:pPr>
        <w:pStyle w:val="Heading1"/>
        <w:keepNext/>
        <w:spacing w:before="200" w:after="100"/>
      </w:pPr>
      <w:r>
        <w:rPr>
          <w:rFonts w:ascii="Arial" w:hAnsi="Arial"/>
          <w:b/>
          <w:color w:val="000000"/>
          <w:sz w:val="30"/>
        </w:rPr>
        <w:t>4 Research Questions and Hypotheses</w:t>
      </w:r>
    </w:p>
    <w:p>
      <w:pPr>
        <w:spacing w:after="100" w:line="259" w:lineRule="auto"/>
        <w:ind w:left="216" w:hanging="216"/>
      </w:pPr>
      <w:r>
        <w:rPr>
          <w:rFonts w:ascii="Arial" w:hAnsi="Arial"/>
          <w:b/>
          <w:color w:val="202020"/>
          <w:sz w:val="19"/>
        </w:rPr>
        <w:t xml:space="preserve">RQ1  Classifier performance  </w:t>
      </w:r>
      <w:r>
        <w:rPr>
          <w:rFonts w:ascii="Arial" w:hAnsi="Arial"/>
          <w:color w:val="202020"/>
          <w:sz w:val="19"/>
        </w:rPr>
        <w:t>Which of Logistic Regression, Decision Tree, Random Forest and XGBoost gives the best precision-recall performance when only pre-call information is used?</w:t>
      </w:r>
    </w:p>
    <w:p>
      <w:pPr>
        <w:spacing w:after="100" w:line="259" w:lineRule="auto"/>
        <w:ind w:left="216" w:hanging="216"/>
      </w:pPr>
      <w:r>
        <w:rPr>
          <w:rFonts w:ascii="Arial" w:hAnsi="Arial"/>
          <w:b/>
          <w:color w:val="202020"/>
          <w:sz w:val="19"/>
        </w:rPr>
        <w:t xml:space="preserve">RQ2  Feature contribution  </w:t>
      </w:r>
      <w:r>
        <w:rPr>
          <w:rFonts w:ascii="Arial" w:hAnsi="Arial"/>
          <w:color w:val="202020"/>
          <w:sz w:val="19"/>
        </w:rPr>
        <w:t>Do the eight engineered features improve subscriber identification beyond the original predictors?</w:t>
      </w:r>
    </w:p>
    <w:p>
      <w:pPr>
        <w:spacing w:after="100" w:line="259" w:lineRule="auto"/>
        <w:ind w:left="216" w:hanging="216"/>
      </w:pPr>
      <w:r>
        <w:rPr>
          <w:rFonts w:ascii="Arial" w:hAnsi="Arial"/>
          <w:b/>
          <w:color w:val="202020"/>
          <w:sz w:val="19"/>
        </w:rPr>
        <w:t xml:space="preserve">RQ3  Deployment leakage  </w:t>
      </w:r>
      <w:r>
        <w:rPr>
          <w:rFonts w:ascii="Arial" w:hAnsi="Arial"/>
          <w:color w:val="202020"/>
          <w:sz w:val="19"/>
        </w:rPr>
        <w:t>How much does including call duration change measured performance, and why is that gain unavailable for pre-call targeting?</w:t>
      </w:r>
    </w:p>
    <w:p>
      <w:pPr>
        <w:spacing w:after="100" w:line="259" w:lineRule="auto"/>
        <w:ind w:left="216" w:hanging="216"/>
      </w:pPr>
      <w:r>
        <w:rPr>
          <w:rFonts w:ascii="Arial" w:hAnsi="Arial"/>
          <w:b/>
          <w:color w:val="202020"/>
          <w:sz w:val="19"/>
        </w:rPr>
        <w:t xml:space="preserve">RQ4  Decision policy  </w:t>
      </w:r>
      <w:r>
        <w:rPr>
          <w:rFonts w:ascii="Arial" w:hAnsi="Arial"/>
          <w:color w:val="202020"/>
          <w:sz w:val="19"/>
        </w:rPr>
        <w:t>How do class weighting, probability threshold and campaign capacity affect recall, precision, expected calls and campaign utility?</w:t>
      </w:r>
    </w:p>
    <w:p>
      <w:pPr>
        <w:spacing w:after="100" w:line="259" w:lineRule="auto"/>
        <w:ind w:left="216" w:hanging="216"/>
      </w:pPr>
      <w:r>
        <w:rPr>
          <w:rFonts w:ascii="Arial" w:hAnsi="Arial"/>
          <w:b/>
          <w:color w:val="202020"/>
          <w:sz w:val="19"/>
        </w:rPr>
        <w:t xml:space="preserve">RQ5  Trust and robustness  </w:t>
      </w:r>
      <w:r>
        <w:rPr>
          <w:rFonts w:ascii="Arial" w:hAnsi="Arial"/>
          <w:color w:val="202020"/>
          <w:sz w:val="19"/>
        </w:rPr>
        <w:t>Are the predicted probabilities calibrated, explainable, stable on an ordered holdout and reasonably consistent across broad age groups?</w:t>
      </w:r>
    </w:p>
    <w:p>
      <w:pPr>
        <w:spacing w:after="120" w:line="269" w:lineRule="auto"/>
        <w:jc w:val="both"/>
      </w:pPr>
      <w:r>
        <w:rPr>
          <w:rFonts w:ascii="Arial" w:hAnsi="Arial"/>
          <w:color w:val="202020"/>
          <w:sz w:val="20"/>
        </w:rPr>
        <w:t>The principal hypotheses are that the ensemble models will outperform the simpler baselines on precision-recall area under the curve, that engineered features will add measurable value, and that a duration-inclusive model will report materially higher but operationally misleading performance. Calibration and cost-aware thresholding are expected to improve decision quality without changing the ranking objective of the classifier.</w:t>
      </w:r>
    </w:p>
    <w:p>
      <w:pPr>
        <w:pStyle w:val="Heading2"/>
        <w:keepNext/>
        <w:spacing w:before="140" w:after="100"/>
      </w:pPr>
      <w:r>
        <w:rPr>
          <w:rFonts w:ascii="Arial" w:hAnsi="Arial"/>
          <w:b/>
          <w:color w:val="000000"/>
          <w:sz w:val="23"/>
        </w:rPr>
        <w:t>4 1 Hypothesis Mapping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648"/>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ID</w:t>
            </w:r>
          </w:p>
        </w:tc>
        <w:tc>
          <w:tcPr>
            <w:tcW w:type="dxa" w:w="3816"/>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Testable Hypothesis</w:t>
            </w:r>
          </w:p>
        </w:tc>
        <w:tc>
          <w:tcPr>
            <w:tcW w:type="dxa" w:w="223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Primary Comparison</w:t>
            </w:r>
          </w:p>
        </w:tc>
        <w:tc>
          <w:tcPr>
            <w:tcW w:type="dxa" w:w="223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Main Evidence</w:t>
            </w:r>
          </w:p>
        </w:tc>
        <w:tc>
          <w:tcPr>
            <w:tcW w:type="dxa" w:w="864"/>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Objective</w:t>
            </w:r>
          </w:p>
        </w:tc>
      </w:tr>
      <w:tr>
        <w:trPr>
          <w:cantSplit/>
        </w:trPr>
        <w:tc>
          <w:tcPr>
            <w:tcW w:type="dxa" w:w="64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H1</w:t>
            </w:r>
          </w:p>
        </w:tc>
        <w:tc>
          <w:tcPr>
            <w:tcW w:type="dxa" w:w="381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Random Forest and XGBoost will outperform the simpler baselines on minority-class ranking.</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Ensembles versus Logistic Regression and Decision Tree</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PR-AUC with a 95 percent interval</w:t>
            </w:r>
          </w:p>
        </w:tc>
        <w:tc>
          <w:tcPr>
            <w:tcW w:type="dxa" w:w="86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RO2</w:t>
            </w:r>
          </w:p>
        </w:tc>
      </w:tr>
      <w:tr>
        <w:trPr>
          <w:cantSplit/>
        </w:trPr>
        <w:tc>
          <w:tcPr>
            <w:tcW w:type="dxa" w:w="64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H2</w:t>
            </w:r>
          </w:p>
        </w:tc>
        <w:tc>
          <w:tcPr>
            <w:tcW w:type="dxa" w:w="381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The engineered feature set will improve subscriber identification over the original predictors alone.</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Raw versus raw plus engineered features</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PR-AUC, recall and F1 difference</w:t>
            </w:r>
          </w:p>
        </w:tc>
        <w:tc>
          <w:tcPr>
            <w:tcW w:type="dxa" w:w="86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RO4</w:t>
            </w:r>
          </w:p>
        </w:tc>
      </w:tr>
      <w:tr>
        <w:trPr>
          <w:cantSplit/>
        </w:trPr>
        <w:tc>
          <w:tcPr>
            <w:tcW w:type="dxa" w:w="64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H3</w:t>
            </w:r>
          </w:p>
        </w:tc>
        <w:tc>
          <w:tcPr>
            <w:tcW w:type="dxa" w:w="381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Including duration will produce higher measured performance but will not represent a usable pre-call model.</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Duration excluded versus included</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Paired metric difference</w:t>
            </w:r>
          </w:p>
        </w:tc>
        <w:tc>
          <w:tcPr>
            <w:tcW w:type="dxa" w:w="86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RO3</w:t>
            </w:r>
          </w:p>
        </w:tc>
      </w:tr>
      <w:tr>
        <w:trPr>
          <w:cantSplit/>
        </w:trPr>
        <w:tc>
          <w:tcPr>
            <w:tcW w:type="dxa" w:w="64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H4</w:t>
            </w:r>
          </w:p>
        </w:tc>
        <w:tc>
          <w:tcPr>
            <w:tcW w:type="dxa" w:w="381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An imbalance-aware and cost-aware policy will improve campaign utility compared with a standard fit and 0.50 cutoff.</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Training and threshold policies</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Utility, lift at N and calls per subscriber</w:t>
            </w:r>
          </w:p>
        </w:tc>
        <w:tc>
          <w:tcPr>
            <w:tcW w:type="dxa" w:w="86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RO5</w:t>
            </w:r>
          </w:p>
        </w:tc>
      </w:tr>
      <w:tr>
        <w:trPr>
          <w:cantSplit/>
        </w:trPr>
        <w:tc>
          <w:tcPr>
            <w:tcW w:type="dxa" w:w="64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H5</w:t>
            </w:r>
          </w:p>
        </w:tc>
        <w:tc>
          <w:tcPr>
            <w:tcW w:type="dxa" w:w="381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Probability calibration will reduce probability error without materially reducing ranking performance.</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Uncalibrated versus calibrated scores</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Brier score, calibration error and PR-AUC</w:t>
            </w:r>
          </w:p>
        </w:tc>
        <w:tc>
          <w:tcPr>
            <w:tcW w:type="dxa" w:w="86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RO6</w:t>
            </w:r>
          </w:p>
        </w:tc>
      </w:tr>
      <w:tr>
        <w:trPr>
          <w:cantSplit/>
        </w:trPr>
        <w:tc>
          <w:tcPr>
            <w:tcW w:type="dxa" w:w="64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H6</w:t>
            </w:r>
          </w:p>
        </w:tc>
        <w:tc>
          <w:tcPr>
            <w:tcW w:type="dxa" w:w="381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Ordered-holdout and age-group performance may differ from aggregate random-split results; the analysis is exploratory and assumes no direction.</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Split and group comparisons</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Metric drift and group gaps</w:t>
            </w:r>
          </w:p>
        </w:tc>
        <w:tc>
          <w:tcPr>
            <w:tcW w:type="dxa" w:w="86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RO7</w:t>
            </w:r>
          </w:p>
        </w:tc>
      </w:tr>
    </w:tbl>
    <w:p>
      <w:pPr>
        <w:sectPr>
          <w:footerReference w:type="default" r:id="rId9"/>
          <w:pgSz w:w="12240" w:h="15840"/>
          <w:pgMar w:top="936" w:right="1037" w:bottom="936" w:left="1037" w:header="360" w:footer="432" w:gutter="0"/>
          <w:cols w:space="720"/>
          <w:docGrid w:linePitch="360"/>
        </w:sectPr>
      </w:pPr>
    </w:p>
    <w:p>
      <w:pPr>
        <w:pStyle w:val="Heading1"/>
        <w:keepNext/>
        <w:spacing w:before="200" w:after="100"/>
      </w:pPr>
      <w:r>
        <w:rPr>
          <w:rFonts w:ascii="Arial" w:hAnsi="Arial"/>
          <w:b/>
          <w:color w:val="000000"/>
          <w:sz w:val="30"/>
        </w:rPr>
        <w:t>5 Research Objective Mapping</w:t>
      </w:r>
    </w:p>
    <w:p>
      <w:pPr>
        <w:spacing w:after="120" w:line="269" w:lineRule="auto"/>
        <w:jc w:val="both"/>
      </w:pPr>
      <w:r>
        <w:rPr>
          <w:rFonts w:ascii="Arial" w:hAnsi="Arial"/>
          <w:color w:val="202020"/>
          <w:sz w:val="20"/>
        </w:rPr>
        <w:t>The matrix below is the central traceability record for the project. Each objective produces specific evidence and a submission deliverable.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0"/>
        <w:gridCol w:w="2400"/>
        <w:gridCol w:w="2400"/>
        <w:gridCol w:w="2400"/>
        <w:gridCol w:w="2400"/>
        <w:gridCol w:w="2400"/>
      </w:tblGrid>
      <w:tr>
        <w:trPr>
          <w:tblHeader w:val="true"/>
          <w:cantSplit/>
        </w:trPr>
        <w:tc>
          <w:tcPr>
            <w:tcW w:type="dxa" w:w="648"/>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4"/>
              </w:rPr>
              <w:t>ID</w:t>
            </w:r>
          </w:p>
        </w:tc>
        <w:tc>
          <w:tcPr>
            <w:tcW w:type="dxa" w:w="2376"/>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4"/>
              </w:rPr>
              <w:t>Research Objective</w:t>
            </w:r>
          </w:p>
        </w:tc>
        <w:tc>
          <w:tcPr>
            <w:tcW w:type="dxa" w:w="252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4"/>
              </w:rPr>
              <w:t>Research Question</w:t>
            </w:r>
          </w:p>
        </w:tc>
        <w:tc>
          <w:tcPr>
            <w:tcW w:type="dxa" w:w="324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4"/>
              </w:rPr>
              <w:t>Method and Experiment</w:t>
            </w:r>
          </w:p>
        </w:tc>
        <w:tc>
          <w:tcPr>
            <w:tcW w:type="dxa" w:w="2376"/>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4"/>
              </w:rPr>
              <w:t>Evidence and Metrics</w:t>
            </w:r>
          </w:p>
        </w:tc>
        <w:tc>
          <w:tcPr>
            <w:tcW w:type="dxa" w:w="324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4"/>
              </w:rPr>
              <w:t>Expected Output and Novelty</w:t>
            </w:r>
          </w:p>
        </w:tc>
      </w:tr>
      <w:tr>
        <w:trPr>
          <w:cantSplit/>
        </w:trPr>
        <w:tc>
          <w:tcPr>
            <w:tcW w:type="dxa" w:w="64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RO1</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Construct a reproducible modelling dataset from multiple bank files</w:t>
            </w:r>
          </w:p>
        </w:tc>
        <w:tc>
          <w:tcPr>
            <w:tcW w:type="dxa" w:w="25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Do schema validation, normalization and duplicate control produce a reliable dataset for repeatable experiments?</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Ingest both files; detect delimiters; enforce the 17-column schema; normalize text; convert numeric fields; remove exact duplicates; record metadata</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Record counts, target distribution, duplicate count and deterministic split metadata</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Verified dataset of 45,211 unique records and a reusable multi-file ingestion pipeline</w:t>
            </w:r>
          </w:p>
        </w:tc>
      </w:tr>
      <w:tr>
        <w:trPr>
          <w:cantSplit/>
        </w:trPr>
        <w:tc>
          <w:tcPr>
            <w:tcW w:type="dxa" w:w="64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RO2</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Compare four classification approaches under a valid pre-call feature set</w:t>
            </w:r>
          </w:p>
        </w:tc>
        <w:tc>
          <w:tcPr>
            <w:tcW w:type="dxa" w:w="25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Which model gives the strongest minority-class ranking and classification performance?</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Train Logistic Regression, Decision Tree, Random Forest and XGBoost with the same preprocessing and 80 to 20 held-out split</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PR-AUC, ROC-AUC, recall, precision, F1, balanced accuracy, Brier score and confusion matrix</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Evidence-based primary-model selection; simple models remain interpretable baselines</w:t>
            </w:r>
          </w:p>
        </w:tc>
      </w:tr>
      <w:tr>
        <w:trPr>
          <w:cantSplit/>
        </w:trPr>
        <w:tc>
          <w:tcPr>
            <w:tcW w:type="dxa" w:w="64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RO3</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Quantify the effect of post-call information leakage</w:t>
            </w:r>
          </w:p>
        </w:tc>
        <w:tc>
          <w:tcPr>
            <w:tcW w:type="dxa" w:w="25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How much does duration inflate performance compared with a deployment-valid model?</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Repeat the full experiment with duration excluded and included while holding split, seed and preprocessing constant</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Paired differences in PR-AUC, ROC-AUC, recall, precision and F1; bootstrap confidence intervals</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A measurable deployment-validity audit rather than an unsupported warning about leakage</w:t>
            </w:r>
          </w:p>
        </w:tc>
      </w:tr>
      <w:tr>
        <w:trPr>
          <w:cantSplit/>
        </w:trPr>
        <w:tc>
          <w:tcPr>
            <w:tcW w:type="dxa" w:w="64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RO4</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Evaluate the contribution of the eight engineered features</w:t>
            </w:r>
          </w:p>
        </w:tc>
        <w:tc>
          <w:tcPr>
            <w:tcW w:type="dxa" w:w="25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Do contact-history, pressure, recency, debt, season and balance features add predictive value?</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Run a raw-feature versus raw-plus-engineered-feature ablation for every classifier</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Metric change by model; SHAP importance; stability across splits</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Direct evidence of which new features help, add no value or create instability</w:t>
            </w:r>
          </w:p>
        </w:tc>
      </w:tr>
      <w:tr>
        <w:trPr>
          <w:cantSplit/>
        </w:trPr>
        <w:tc>
          <w:tcPr>
            <w:tcW w:type="dxa" w:w="64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RO5</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Develop an imbalance-aware and campaign-aware decision policy</w:t>
            </w:r>
          </w:p>
        </w:tc>
        <w:tc>
          <w:tcPr>
            <w:tcW w:type="dxa" w:w="25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Which training and threshold policy finds subscribers without creating an impractical number of calls?</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Compare standard fitting with class weights; test fixed thresholds, cost-sensitive thresholds and top-N capacity selection</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PR-AUC, recall, precision, false positives, calls per true subscriber, expected utility and lift at N</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A decision rule aligned with campaign cost and staff capacity rather than a universal 0.50 cutoff</w:t>
            </w:r>
          </w:p>
        </w:tc>
      </w:tr>
      <w:tr>
        <w:trPr>
          <w:cantSplit/>
        </w:trPr>
        <w:tc>
          <w:tcPr>
            <w:tcW w:type="dxa" w:w="64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RO6</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Improve the reliability and interpretability of predicted probabilities</w:t>
            </w:r>
          </w:p>
        </w:tc>
        <w:tc>
          <w:tcPr>
            <w:tcW w:type="dxa" w:w="25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Can calibration and explanation make model outputs suitable for campaign review?</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Apply Platt or isotonic calibration on validation data; calculate global and local SHAP explanations</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Brier score, calibration curve, expected calibration error and explanation consistency</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Probabilities that can be interpreted as risk estimates plus documented reasons for individual rankings</w:t>
            </w:r>
          </w:p>
        </w:tc>
      </w:tr>
      <w:tr>
        <w:trPr>
          <w:cantSplit/>
        </w:trPr>
        <w:tc>
          <w:tcPr>
            <w:tcW w:type="dxa" w:w="64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RO7</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Test robustness across order and demographic groups</w:t>
            </w:r>
          </w:p>
        </w:tc>
        <w:tc>
          <w:tcPr>
            <w:tcW w:type="dxa" w:w="252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Does performance remain acceptable when evaluated on a later ordered block and across broad age groups?</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Compare stratified and ordered holdouts; report group-level recall, precision, false-positive rate and calibration</w:t>
            </w:r>
          </w:p>
        </w:tc>
        <w:tc>
          <w:tcPr>
            <w:tcW w:type="dxa" w:w="2376"/>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Metric drift, confidence intervals and maximum observed group gap</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Transparent limitations and evidence of whether the model generalizes beyond one random split</w:t>
            </w:r>
          </w:p>
        </w:tc>
      </w:tr>
      <w:tr>
        <w:trPr>
          <w:cantSplit/>
        </w:trPr>
        <w:tc>
          <w:tcPr>
            <w:tcW w:type="dxa" w:w="64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4"/>
              </w:rPr>
              <w:t>RO8</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Translate the research model into a usable decision-support application</w:t>
            </w:r>
          </w:p>
        </w:tc>
        <w:tc>
          <w:tcPr>
            <w:tcW w:type="dxa" w:w="252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Can the full preprocessing and prediction workflow score new customers consistently and reproducibly?</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Package feature engineering and preprocessing inside each saved model; add single-record and batch scoring with ranked outputs</w:t>
            </w:r>
          </w:p>
        </w:tc>
        <w:tc>
          <w:tcPr>
            <w:tcW w:type="dxa" w:w="2376"/>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Schema checks, load-and-predict test, reproducibility test and user acceptance scenarios</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4"/>
              </w:rPr>
              <w:t>Deployable model pipelines, model card, batch ranking output and demonstration application</w:t>
            </w:r>
          </w:p>
        </w:tc>
      </w:tr>
    </w:tbl>
    <w:p>
      <w:r>
        <w:br w:type="page"/>
      </w:r>
    </w:p>
    <w:p>
      <w:pPr>
        <w:pStyle w:val="Heading1"/>
        <w:keepNext/>
        <w:spacing w:before="200" w:after="100"/>
      </w:pPr>
      <w:r>
        <w:rPr>
          <w:rFonts w:ascii="Arial" w:hAnsi="Arial"/>
          <w:b/>
          <w:color w:val="000000"/>
          <w:sz w:val="30"/>
        </w:rPr>
        <w:t>6 Research Gap and Novelty Mapping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2880"/>
        <w:gridCol w:w="2880"/>
        <w:gridCol w:w="2880"/>
        <w:gridCol w:w="2880"/>
      </w:tblGrid>
      <w:tr>
        <w:trPr>
          <w:tblHeader w:val="true"/>
          <w:cantSplit/>
        </w:trPr>
        <w:tc>
          <w:tcPr>
            <w:tcW w:type="dxa" w:w="2088"/>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Research Gap</w:t>
            </w:r>
          </w:p>
        </w:tc>
        <w:tc>
          <w:tcPr>
            <w:tcW w:type="dxa" w:w="3384"/>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Why It Matters</w:t>
            </w:r>
          </w:p>
        </w:tc>
        <w:tc>
          <w:tcPr>
            <w:tcW w:type="dxa" w:w="367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Project Response</w:t>
            </w:r>
          </w:p>
        </w:tc>
        <w:tc>
          <w:tcPr>
            <w:tcW w:type="dxa" w:w="324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Evidence Produced</w:t>
            </w:r>
          </w:p>
        </w:tc>
        <w:tc>
          <w:tcPr>
            <w:tcW w:type="dxa" w:w="1296"/>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Mapped Objective</w:t>
            </w:r>
          </w:p>
        </w:tc>
      </w:tr>
      <w:tr>
        <w:trPr>
          <w:cantSplit/>
        </w:trPr>
        <w:tc>
          <w:tcPr>
            <w:tcW w:type="dxa" w:w="208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Post-call leakage</w:t>
            </w:r>
          </w:p>
        </w:tc>
        <w:tc>
          <w:tcPr>
            <w:tcW w:type="dxa" w:w="3384"/>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Studies may report models that use duration without separating operational timing</w:t>
            </w:r>
          </w:p>
        </w:tc>
        <w:tc>
          <w:tcPr>
            <w:tcW w:type="dxa" w:w="36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Make duration exclusion the primary design and run a controlled inclusion experiment</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Difference in held-out metrics and confidence intervals</w:t>
            </w:r>
          </w:p>
        </w:tc>
        <w:tc>
          <w:tcPr>
            <w:tcW w:type="dxa" w:w="1296"/>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RO3</w:t>
            </w:r>
          </w:p>
        </w:tc>
      </w:tr>
      <w:tr>
        <w:trPr>
          <w:cantSplit/>
        </w:trPr>
        <w:tc>
          <w:tcPr>
            <w:tcW w:type="dxa" w:w="208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Accuracy on imbalanced data</w:t>
            </w:r>
          </w:p>
        </w:tc>
        <w:tc>
          <w:tcPr>
            <w:tcW w:type="dxa" w:w="3384"/>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High accuracy can conceal poor detection of the 11.7 percent positive class</w:t>
            </w:r>
          </w:p>
        </w:tc>
        <w:tc>
          <w:tcPr>
            <w:tcW w:type="dxa" w:w="367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Use PR-AUC, positive-class recall, precision, F1 and balanced accuracy</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Full metric table and confusion matrices</w:t>
            </w:r>
          </w:p>
        </w:tc>
        <w:tc>
          <w:tcPr>
            <w:tcW w:type="dxa" w:w="1296"/>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RO2 RO5</w:t>
            </w:r>
          </w:p>
        </w:tc>
      </w:tr>
      <w:tr>
        <w:trPr>
          <w:cantSplit/>
        </w:trPr>
        <w:tc>
          <w:tcPr>
            <w:tcW w:type="dxa" w:w="208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Limited behavioural features</w:t>
            </w:r>
          </w:p>
        </w:tc>
        <w:tc>
          <w:tcPr>
            <w:tcW w:type="dxa" w:w="3384"/>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Original columns do not directly express contact pressure, debt burden or recency bands</w:t>
            </w:r>
          </w:p>
        </w:tc>
        <w:tc>
          <w:tcPr>
            <w:tcW w:type="dxa" w:w="36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Add eight leakage-safe engineered features and conduct an ablation study</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Raw versus engineered metric change and SHAP ranking</w:t>
            </w:r>
          </w:p>
        </w:tc>
        <w:tc>
          <w:tcPr>
            <w:tcW w:type="dxa" w:w="1296"/>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RO4</w:t>
            </w:r>
          </w:p>
        </w:tc>
      </w:tr>
      <w:tr>
        <w:trPr>
          <w:cantSplit/>
        </w:trPr>
        <w:tc>
          <w:tcPr>
            <w:tcW w:type="dxa" w:w="208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Fixed threshold</w:t>
            </w:r>
          </w:p>
        </w:tc>
        <w:tc>
          <w:tcPr>
            <w:tcW w:type="dxa" w:w="3384"/>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 probability cutoff of 0.50 ignores campaign cost and available staff</w:t>
            </w:r>
          </w:p>
        </w:tc>
        <w:tc>
          <w:tcPr>
            <w:tcW w:type="dxa" w:w="367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Select thresholds from cost assumptions and top-N call capacity</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Utility curve, lift at N and calls per subscriber</w:t>
            </w:r>
          </w:p>
        </w:tc>
        <w:tc>
          <w:tcPr>
            <w:tcW w:type="dxa" w:w="1296"/>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RO5</w:t>
            </w:r>
          </w:p>
        </w:tc>
      </w:tr>
      <w:tr>
        <w:trPr>
          <w:cantSplit/>
        </w:trPr>
        <w:tc>
          <w:tcPr>
            <w:tcW w:type="dxa" w:w="208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Uncalibrated scores</w:t>
            </w:r>
          </w:p>
        </w:tc>
        <w:tc>
          <w:tcPr>
            <w:tcW w:type="dxa" w:w="3384"/>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 ranking score may not represent the true chance of subscription</w:t>
            </w:r>
          </w:p>
        </w:tc>
        <w:tc>
          <w:tcPr>
            <w:tcW w:type="dxa" w:w="36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Compare uncalibrated, Platt-calibrated and isotonic-calibrated probabilities</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Brier score and calibration error</w:t>
            </w:r>
          </w:p>
        </w:tc>
        <w:tc>
          <w:tcPr>
            <w:tcW w:type="dxa" w:w="1296"/>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RO6</w:t>
            </w:r>
          </w:p>
        </w:tc>
      </w:tr>
      <w:tr>
        <w:trPr>
          <w:cantSplit/>
        </w:trPr>
        <w:tc>
          <w:tcPr>
            <w:tcW w:type="dxa" w:w="208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Black-box predictions</w:t>
            </w:r>
          </w:p>
        </w:tc>
        <w:tc>
          <w:tcPr>
            <w:tcW w:type="dxa" w:w="3384"/>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Feature importance alone does not explain individual customer rankings</w:t>
            </w:r>
          </w:p>
        </w:tc>
        <w:tc>
          <w:tcPr>
            <w:tcW w:type="dxa" w:w="367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Use global and local SHAP explanations with documented interpretation limits</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Explanation examples and stability checks</w:t>
            </w:r>
          </w:p>
        </w:tc>
        <w:tc>
          <w:tcPr>
            <w:tcW w:type="dxa" w:w="1296"/>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RO6</w:t>
            </w:r>
          </w:p>
        </w:tc>
      </w:tr>
      <w:tr>
        <w:trPr>
          <w:cantSplit/>
        </w:trPr>
        <w:tc>
          <w:tcPr>
            <w:tcW w:type="dxa" w:w="208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Single random split</w:t>
            </w:r>
          </w:p>
        </w:tc>
        <w:tc>
          <w:tcPr>
            <w:tcW w:type="dxa" w:w="3384"/>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Random holdout performance may not represent later campaign records</w:t>
            </w:r>
          </w:p>
        </w:tc>
        <w:tc>
          <w:tcPr>
            <w:tcW w:type="dxa" w:w="36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Add an ordered holdout and compare metric drift</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Random versus ordered results with intervals</w:t>
            </w:r>
          </w:p>
        </w:tc>
        <w:tc>
          <w:tcPr>
            <w:tcW w:type="dxa" w:w="1296"/>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RO7</w:t>
            </w:r>
          </w:p>
        </w:tc>
      </w:tr>
      <w:tr>
        <w:trPr>
          <w:cantSplit/>
        </w:trPr>
        <w:tc>
          <w:tcPr>
            <w:tcW w:type="dxa" w:w="208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Unreported group variation</w:t>
            </w:r>
          </w:p>
        </w:tc>
        <w:tc>
          <w:tcPr>
            <w:tcW w:type="dxa" w:w="3384"/>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Aggregate results can hide different error rates among age groups</w:t>
            </w:r>
          </w:p>
        </w:tc>
        <w:tc>
          <w:tcPr>
            <w:tcW w:type="dxa" w:w="367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Report group recall, precision, false-positive rate and calibration</w:t>
            </w:r>
          </w:p>
        </w:tc>
        <w:tc>
          <w:tcPr>
            <w:tcW w:type="dxa" w:w="324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Age-group audit and documented limitations</w:t>
            </w:r>
          </w:p>
        </w:tc>
        <w:tc>
          <w:tcPr>
            <w:tcW w:type="dxa" w:w="1296"/>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RO7</w:t>
            </w:r>
          </w:p>
        </w:tc>
      </w:tr>
      <w:tr>
        <w:trPr>
          <w:cantSplit/>
        </w:trPr>
        <w:tc>
          <w:tcPr>
            <w:tcW w:type="dxa" w:w="208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Weak reproducibility</w:t>
            </w:r>
          </w:p>
        </w:tc>
        <w:tc>
          <w:tcPr>
            <w:tcW w:type="dxa" w:w="3384"/>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Manual notebooks can separate training preprocessing from deployment preprocessing</w:t>
            </w:r>
          </w:p>
        </w:tc>
        <w:tc>
          <w:tcPr>
            <w:tcW w:type="dxa" w:w="367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Save one end-to-end pipeline per classifier with schema and training metadata</w:t>
            </w:r>
          </w:p>
        </w:tc>
        <w:tc>
          <w:tcPr>
            <w:tcW w:type="dxa" w:w="324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Reloaded-model prediction test and reproducibility record</w:t>
            </w:r>
          </w:p>
        </w:tc>
        <w:tc>
          <w:tcPr>
            <w:tcW w:type="dxa" w:w="1296"/>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RO1 RO8</w:t>
            </w:r>
          </w:p>
        </w:tc>
      </w:tr>
    </w:tbl>
    <w:p>
      <w:pPr>
        <w:sectPr>
          <w:footerReference w:type="default" r:id="rId10"/>
          <w:pgSz w:w="15840" w:h="12240" w:orient="landscape"/>
          <w:pgMar w:top="792" w:right="720" w:bottom="792" w:left="720" w:header="360" w:footer="432" w:gutter="0"/>
          <w:cols w:space="720"/>
          <w:docGrid w:linePitch="360"/>
        </w:sectPr>
      </w:pPr>
    </w:p>
    <w:p>
      <w:pPr>
        <w:pStyle w:val="Heading1"/>
        <w:keepNext/>
        <w:spacing w:before="200" w:after="100"/>
      </w:pPr>
      <w:r>
        <w:rPr>
          <w:rFonts w:ascii="Arial" w:hAnsi="Arial"/>
          <w:b/>
          <w:color w:val="000000"/>
          <w:sz w:val="30"/>
        </w:rPr>
        <w:t>7 Experimental Design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15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Experiment</w:t>
            </w:r>
          </w:p>
        </w:tc>
        <w:tc>
          <w:tcPr>
            <w:tcW w:type="dxa" w:w="223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Purpose</w:t>
            </w:r>
          </w:p>
        </w:tc>
        <w:tc>
          <w:tcPr>
            <w:tcW w:type="dxa" w:w="540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Controlled Comparison</w:t>
            </w:r>
          </w:p>
        </w:tc>
        <w:tc>
          <w:tcPr>
            <w:tcW w:type="dxa" w:w="1008"/>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Objective</w:t>
            </w:r>
          </w:p>
        </w:tc>
      </w:tr>
      <w:tr>
        <w:trPr>
          <w:cantSplit/>
        </w:trPr>
        <w:tc>
          <w:tcPr>
            <w:tcW w:type="dxa" w:w="115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E1</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Model comparison</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Four classifiers with identical preprocessing</w:t>
            </w:r>
          </w:p>
        </w:tc>
        <w:tc>
          <w:tcPr>
            <w:tcW w:type="dxa" w:w="100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RO2</w:t>
            </w:r>
          </w:p>
        </w:tc>
      </w:tr>
      <w:tr>
        <w:trPr>
          <w:cantSplit/>
        </w:trPr>
        <w:tc>
          <w:tcPr>
            <w:tcW w:type="dxa" w:w="115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E2</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Feature ablation</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Original variables versus original plus eight engineered features</w:t>
            </w:r>
          </w:p>
        </w:tc>
        <w:tc>
          <w:tcPr>
            <w:tcW w:type="dxa" w:w="100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RO4</w:t>
            </w:r>
          </w:p>
        </w:tc>
      </w:tr>
      <w:tr>
        <w:trPr>
          <w:cantSplit/>
        </w:trPr>
        <w:tc>
          <w:tcPr>
            <w:tcW w:type="dxa" w:w="115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E3</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Duration audit</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Pre-call model without duration versus post-call model with duration</w:t>
            </w:r>
          </w:p>
        </w:tc>
        <w:tc>
          <w:tcPr>
            <w:tcW w:type="dxa" w:w="100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RO3</w:t>
            </w:r>
          </w:p>
        </w:tc>
      </w:tr>
      <w:tr>
        <w:trPr>
          <w:cantSplit/>
        </w:trPr>
        <w:tc>
          <w:tcPr>
            <w:tcW w:type="dxa" w:w="115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E4</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Imbalance treatment</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Normal fitting versus class-weighted or scale-weighted fitting</w:t>
            </w:r>
          </w:p>
        </w:tc>
        <w:tc>
          <w:tcPr>
            <w:tcW w:type="dxa" w:w="100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RO5</w:t>
            </w:r>
          </w:p>
        </w:tc>
      </w:tr>
      <w:tr>
        <w:trPr>
          <w:cantSplit/>
        </w:trPr>
        <w:tc>
          <w:tcPr>
            <w:tcW w:type="dxa" w:w="115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E5</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Threshold policy</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0.50 cutoff versus cost-aware threshold and top-N capacity</w:t>
            </w:r>
          </w:p>
        </w:tc>
        <w:tc>
          <w:tcPr>
            <w:tcW w:type="dxa" w:w="100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RO5</w:t>
            </w:r>
          </w:p>
        </w:tc>
      </w:tr>
      <w:tr>
        <w:trPr>
          <w:cantSplit/>
        </w:trPr>
        <w:tc>
          <w:tcPr>
            <w:tcW w:type="dxa" w:w="115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E6</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Probability calibration</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Uncalibrated versus Platt and isotonic calibration</w:t>
            </w:r>
          </w:p>
        </w:tc>
        <w:tc>
          <w:tcPr>
            <w:tcW w:type="dxa" w:w="100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RO6</w:t>
            </w:r>
          </w:p>
        </w:tc>
      </w:tr>
      <w:tr>
        <w:trPr>
          <w:cantSplit/>
        </w:trPr>
        <w:tc>
          <w:tcPr>
            <w:tcW w:type="dxa" w:w="115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E7</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Explainability</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Global importance versus global and local SHAP explanations</w:t>
            </w:r>
          </w:p>
        </w:tc>
        <w:tc>
          <w:tcPr>
            <w:tcW w:type="dxa" w:w="100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RO6</w:t>
            </w:r>
          </w:p>
        </w:tc>
      </w:tr>
      <w:tr>
        <w:trPr>
          <w:cantSplit/>
        </w:trPr>
        <w:tc>
          <w:tcPr>
            <w:tcW w:type="dxa" w:w="115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E8</w:t>
            </w:r>
          </w:p>
        </w:tc>
        <w:tc>
          <w:tcPr>
            <w:tcW w:type="dxa" w:w="223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Fairness audit</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Overall performance versus performance across broad age groups</w:t>
            </w:r>
          </w:p>
        </w:tc>
        <w:tc>
          <w:tcPr>
            <w:tcW w:type="dxa" w:w="1008"/>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RO7</w:t>
            </w:r>
          </w:p>
        </w:tc>
      </w:tr>
      <w:tr>
        <w:trPr>
          <w:cantSplit/>
        </w:trPr>
        <w:tc>
          <w:tcPr>
            <w:tcW w:type="dxa" w:w="115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E9</w:t>
            </w:r>
          </w:p>
        </w:tc>
        <w:tc>
          <w:tcPr>
            <w:tcW w:type="dxa" w:w="223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Robustness</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Stratified random holdout versus ordered holdout</w:t>
            </w:r>
          </w:p>
        </w:tc>
        <w:tc>
          <w:tcPr>
            <w:tcW w:type="dxa" w:w="1008"/>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RO7</w:t>
            </w:r>
          </w:p>
        </w:tc>
      </w:tr>
    </w:tbl>
    <w:p>
      <w:pPr>
        <w:pStyle w:val="Heading2"/>
        <w:keepNext/>
        <w:spacing w:before="140" w:after="100"/>
      </w:pPr>
      <w:r>
        <w:rPr>
          <w:rFonts w:ascii="Arial" w:hAnsi="Arial"/>
          <w:b/>
          <w:color w:val="000000"/>
          <w:sz w:val="23"/>
        </w:rPr>
        <w:t>7 1 Data Preparation and Model Training</w:t>
      </w:r>
    </w:p>
    <w:p>
      <w:pPr>
        <w:pStyle w:val="ListBullet"/>
        <w:spacing w:after="60" w:line="259" w:lineRule="auto"/>
      </w:pPr>
      <w:r>
        <w:rPr>
          <w:rFonts w:ascii="Arial" w:hAnsi="Arial"/>
          <w:color w:val="202020"/>
          <w:sz w:val="19"/>
        </w:rPr>
        <w:t>Split the unique records before fitting imputers, scalers, one-hot encoders or balance cutoffs.</w:t>
      </w:r>
    </w:p>
    <w:p>
      <w:pPr>
        <w:pStyle w:val="ListBullet"/>
        <w:spacing w:after="60" w:line="259" w:lineRule="auto"/>
      </w:pPr>
      <w:r>
        <w:rPr>
          <w:rFonts w:ascii="Arial" w:hAnsi="Arial"/>
          <w:color w:val="202020"/>
          <w:sz w:val="19"/>
        </w:rPr>
        <w:t>Use median imputation and standardization for numeric variables, and most-frequent imputation plus one-hot encoding for categorical variables.</w:t>
      </w:r>
    </w:p>
    <w:p>
      <w:pPr>
        <w:pStyle w:val="ListBullet"/>
        <w:spacing w:after="60" w:line="259" w:lineRule="auto"/>
      </w:pPr>
      <w:r>
        <w:rPr>
          <w:rFonts w:ascii="Arial" w:hAnsi="Arial"/>
          <w:color w:val="202020"/>
          <w:sz w:val="19"/>
        </w:rPr>
        <w:t>Use balanced class weights for Logistic Regression and Decision Tree, balanced subsampling for Random Forest, and scale-positive-weight for XGBoost.</w:t>
      </w:r>
    </w:p>
    <w:p>
      <w:pPr>
        <w:pStyle w:val="ListBullet"/>
        <w:spacing w:after="60" w:line="259" w:lineRule="auto"/>
      </w:pPr>
      <w:r>
        <w:rPr>
          <w:rFonts w:ascii="Arial" w:hAnsi="Arial"/>
          <w:color w:val="202020"/>
          <w:sz w:val="19"/>
        </w:rPr>
        <w:t>Keep feature engineering and preprocessing inside each saved model pipeline so training and prediction apply the same transformations.</w:t>
      </w:r>
    </w:p>
    <w:p>
      <w:pPr>
        <w:pStyle w:val="Heading2"/>
        <w:keepNext/>
        <w:spacing w:before="140" w:after="100"/>
      </w:pPr>
      <w:r>
        <w:rPr>
          <w:rFonts w:ascii="Arial" w:hAnsi="Arial"/>
          <w:b/>
          <w:color w:val="000000"/>
          <w:sz w:val="23"/>
        </w:rPr>
        <w:t>7 2 Statistical Comparison Plan</w:t>
      </w:r>
    </w:p>
    <w:p>
      <w:pPr>
        <w:spacing w:after="120" w:line="269" w:lineRule="auto"/>
        <w:jc w:val="both"/>
      </w:pPr>
      <w:r>
        <w:rPr>
          <w:rFonts w:ascii="Arial" w:hAnsi="Arial"/>
          <w:color w:val="202020"/>
          <w:sz w:val="20"/>
        </w:rPr>
        <w:t>Hyperparameters, calibration method and decision threshold will be chosen without consulting the final test labels. Model comparisons will use the same held-out records so observed differences reflect modelling choices rather than different samples.</w:t>
      </w:r>
    </w:p>
    <w:p>
      <w:pPr>
        <w:pStyle w:val="ListBullet"/>
        <w:spacing w:after="60" w:line="259" w:lineRule="auto"/>
      </w:pPr>
      <w:r>
        <w:rPr>
          <w:rFonts w:ascii="Arial" w:hAnsi="Arial"/>
          <w:color w:val="202020"/>
          <w:sz w:val="19"/>
        </w:rPr>
        <w:t>Use paired bootstrap resampling of held-out predictions to report 95 percent confidence intervals for the main metric differences.</w:t>
      </w:r>
    </w:p>
    <w:p>
      <w:pPr>
        <w:pStyle w:val="ListBullet"/>
        <w:spacing w:after="60" w:line="259" w:lineRule="auto"/>
      </w:pPr>
      <w:r>
        <w:rPr>
          <w:rFonts w:ascii="Arial" w:hAnsi="Arial"/>
          <w:color w:val="202020"/>
          <w:sz w:val="19"/>
        </w:rPr>
        <w:t>Keep the final test partition locked while thresholds and calibration are selected on training or validation data.</w:t>
      </w:r>
    </w:p>
    <w:p>
      <w:pPr>
        <w:pStyle w:val="ListBullet"/>
        <w:spacing w:after="60" w:line="259" w:lineRule="auto"/>
      </w:pPr>
      <w:r>
        <w:rPr>
          <w:rFonts w:ascii="Arial" w:hAnsi="Arial"/>
          <w:color w:val="202020"/>
          <w:sz w:val="19"/>
        </w:rPr>
        <w:t>Report threshold sensitivity across plausible contact-cost, conversion-value and campaign-capacity assumptions.</w:t>
      </w:r>
    </w:p>
    <w:p>
      <w:pPr>
        <w:pStyle w:val="ListBullet"/>
        <w:spacing w:after="60" w:line="259" w:lineRule="auto"/>
      </w:pPr>
      <w:r>
        <w:rPr>
          <w:rFonts w:ascii="Arial" w:hAnsi="Arial"/>
          <w:color w:val="202020"/>
          <w:sz w:val="19"/>
        </w:rPr>
        <w:t>Define age groups and minimum group sizes before examining group results, and label small-sample comparisons clearly.</w:t>
      </w:r>
    </w:p>
    <w:p>
      <w:r>
        <w:br w:type="page"/>
      </w:r>
    </w:p>
    <w:p>
      <w:pPr>
        <w:pStyle w:val="Heading2"/>
        <w:keepNext/>
        <w:spacing w:before="140" w:after="100"/>
      </w:pPr>
      <w:r>
        <w:rPr>
          <w:rFonts w:ascii="Arial" w:hAnsi="Arial"/>
          <w:b/>
          <w:color w:val="000000"/>
          <w:sz w:val="23"/>
        </w:rPr>
        <w:t>7 3 Evaluation Measures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1944"/>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Measure</w:t>
            </w:r>
          </w:p>
        </w:tc>
        <w:tc>
          <w:tcPr>
            <w:tcW w:type="dxa" w:w="7848"/>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7"/>
              </w:rPr>
              <w:t>Purpose in This Project</w:t>
            </w:r>
          </w:p>
        </w:tc>
      </w:tr>
      <w:tr>
        <w:trPr>
          <w:cantSplit/>
        </w:trPr>
        <w:tc>
          <w:tcPr>
            <w:tcW w:type="dxa" w:w="194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PR-AUC</w:t>
            </w:r>
          </w:p>
        </w:tc>
        <w:tc>
          <w:tcPr>
            <w:tcW w:type="dxa" w:w="784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Primary model-selection measure because subscription is the minority class</w:t>
            </w:r>
          </w:p>
        </w:tc>
      </w:tr>
      <w:tr>
        <w:trPr>
          <w:cantSplit/>
        </w:trPr>
        <w:tc>
          <w:tcPr>
            <w:tcW w:type="dxa" w:w="194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Recall</w:t>
            </w:r>
          </w:p>
        </w:tc>
        <w:tc>
          <w:tcPr>
            <w:tcW w:type="dxa" w:w="784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Fraction of actual subscribers identified by the campaign model</w:t>
            </w:r>
          </w:p>
        </w:tc>
      </w:tr>
      <w:tr>
        <w:trPr>
          <w:cantSplit/>
        </w:trPr>
        <w:tc>
          <w:tcPr>
            <w:tcW w:type="dxa" w:w="194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Precision</w:t>
            </w:r>
          </w:p>
        </w:tc>
        <w:tc>
          <w:tcPr>
            <w:tcW w:type="dxa" w:w="784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Fraction of predicted subscribers who actually subscribe</w:t>
            </w:r>
          </w:p>
        </w:tc>
      </w:tr>
      <w:tr>
        <w:trPr>
          <w:cantSplit/>
        </w:trPr>
        <w:tc>
          <w:tcPr>
            <w:tcW w:type="dxa" w:w="194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F1 score</w:t>
            </w:r>
          </w:p>
        </w:tc>
        <w:tc>
          <w:tcPr>
            <w:tcW w:type="dxa" w:w="784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Balance between subscriber precision and recall at a selected threshold</w:t>
            </w:r>
          </w:p>
        </w:tc>
      </w:tr>
      <w:tr>
        <w:trPr>
          <w:cantSplit/>
        </w:trPr>
        <w:tc>
          <w:tcPr>
            <w:tcW w:type="dxa" w:w="194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ROC-AUC</w:t>
            </w:r>
          </w:p>
        </w:tc>
        <w:tc>
          <w:tcPr>
            <w:tcW w:type="dxa" w:w="784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Threshold-independent ranking measure reported for comparison with prior studies</w:t>
            </w:r>
          </w:p>
        </w:tc>
      </w:tr>
      <w:tr>
        <w:trPr>
          <w:cantSplit/>
        </w:trPr>
        <w:tc>
          <w:tcPr>
            <w:tcW w:type="dxa" w:w="194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Brier score</w:t>
            </w:r>
          </w:p>
        </w:tc>
        <w:tc>
          <w:tcPr>
            <w:tcW w:type="dxa" w:w="784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Accuracy of the predicted probabilities; lower values indicate better probability estimates</w:t>
            </w:r>
          </w:p>
        </w:tc>
      </w:tr>
      <w:tr>
        <w:trPr>
          <w:cantSplit/>
        </w:trPr>
        <w:tc>
          <w:tcPr>
            <w:tcW w:type="dxa" w:w="194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Lift at N</w:t>
            </w:r>
          </w:p>
        </w:tc>
        <w:tc>
          <w:tcPr>
            <w:tcW w:type="dxa" w:w="7848"/>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Value of contacting the top-ranked group under a fixed campaign capacity</w:t>
            </w:r>
          </w:p>
        </w:tc>
      </w:tr>
      <w:tr>
        <w:trPr>
          <w:cantSplit/>
        </w:trPr>
        <w:tc>
          <w:tcPr>
            <w:tcW w:type="dxa" w:w="194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7"/>
              </w:rPr>
              <w:t>Expected utility</w:t>
            </w:r>
          </w:p>
        </w:tc>
        <w:tc>
          <w:tcPr>
            <w:tcW w:type="dxa" w:w="7848"/>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7"/>
              </w:rPr>
              <w:t>Campaign benefit after accounting for contact cost and misclassification consequences</w:t>
            </w:r>
          </w:p>
        </w:tc>
      </w:tr>
    </w:tbl>
    <w:p>
      <w:pPr>
        <w:pStyle w:val="Heading1"/>
        <w:keepNext/>
        <w:spacing w:before="200" w:after="100"/>
      </w:pPr>
      <w:r>
        <w:rPr>
          <w:rFonts w:ascii="Arial" w:hAnsi="Arial"/>
          <w:b/>
          <w:color w:val="000000"/>
          <w:sz w:val="30"/>
        </w:rPr>
        <w:t>8 Current Baseline Evidence</w:t>
      </w:r>
    </w:p>
    <w:p>
      <w:pPr>
        <w:spacing w:after="120" w:line="269" w:lineRule="auto"/>
        <w:jc w:val="both"/>
      </w:pPr>
      <w:r>
        <w:rPr>
          <w:rFonts w:ascii="Arial" w:hAnsi="Arial"/>
          <w:color w:val="202020"/>
          <w:sz w:val="20"/>
        </w:rPr>
        <w:t>The current pipeline uses a stratified 80 to 20 split, excludes duration, applies imbalance-aware training and evaluates each model at a 0.50 threshold. These results establish the baseline; they do not replace the planned ablation, calibration, threshold, fairness and ordered-holdout studies.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71"/>
        <w:gridCol w:w="1271"/>
        <w:gridCol w:w="1271"/>
        <w:gridCol w:w="1271"/>
        <w:gridCol w:w="1271"/>
        <w:gridCol w:w="1271"/>
        <w:gridCol w:w="1271"/>
        <w:gridCol w:w="1271"/>
      </w:tblGrid>
      <w:tr>
        <w:trPr>
          <w:tblHeader w:val="true"/>
          <w:cantSplit/>
        </w:trPr>
        <w:tc>
          <w:tcPr>
            <w:tcW w:type="dxa" w:w="180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Model</w:t>
            </w:r>
          </w:p>
        </w:tc>
        <w:tc>
          <w:tcPr>
            <w:tcW w:type="dxa" w:w="1037"/>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Accuracy</w:t>
            </w:r>
          </w:p>
        </w:tc>
        <w:tc>
          <w:tcPr>
            <w:tcW w:type="dxa" w:w="1109"/>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Precision</w:t>
            </w:r>
          </w:p>
        </w:tc>
        <w:tc>
          <w:tcPr>
            <w:tcW w:type="dxa" w:w="1037"/>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Recall</w:t>
            </w:r>
          </w:p>
        </w:tc>
        <w:tc>
          <w:tcPr>
            <w:tcW w:type="dxa" w:w="92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F1</w:t>
            </w:r>
          </w:p>
        </w:tc>
        <w:tc>
          <w:tcPr>
            <w:tcW w:type="dxa" w:w="1094"/>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ROC-AUC</w:t>
            </w:r>
          </w:p>
        </w:tc>
        <w:tc>
          <w:tcPr>
            <w:tcW w:type="dxa" w:w="1037"/>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PR-AUC</w:t>
            </w:r>
          </w:p>
        </w:tc>
        <w:tc>
          <w:tcPr>
            <w:tcW w:type="dxa" w:w="1037"/>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5"/>
              </w:rPr>
              <w:t>Brier</w:t>
            </w:r>
          </w:p>
        </w:tc>
      </w:tr>
      <w:tr>
        <w:trPr>
          <w:cantSplit/>
        </w:trPr>
        <w:tc>
          <w:tcPr>
            <w:tcW w:type="dxa" w:w="1800"/>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XGBoost</w:t>
            </w:r>
          </w:p>
        </w:tc>
        <w:tc>
          <w:tcPr>
            <w:tcW w:type="dxa" w:w="1037"/>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82.75%</w:t>
            </w:r>
          </w:p>
        </w:tc>
        <w:tc>
          <w:tcPr>
            <w:tcW w:type="dxa" w:w="1109"/>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36.58%</w:t>
            </w:r>
          </w:p>
        </w:tc>
        <w:tc>
          <w:tcPr>
            <w:tcW w:type="dxa" w:w="1037"/>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64.65%</w:t>
            </w:r>
          </w:p>
        </w:tc>
        <w:tc>
          <w:tcPr>
            <w:tcW w:type="dxa" w:w="92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46.72%</w:t>
            </w:r>
          </w:p>
        </w:tc>
        <w:tc>
          <w:tcPr>
            <w:tcW w:type="dxa" w:w="109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81.64%</w:t>
            </w:r>
          </w:p>
        </w:tc>
        <w:tc>
          <w:tcPr>
            <w:tcW w:type="dxa" w:w="1037"/>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48.76%</w:t>
            </w:r>
          </w:p>
        </w:tc>
        <w:tc>
          <w:tcPr>
            <w:tcW w:type="dxa" w:w="1037"/>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0.1509</w:t>
            </w:r>
          </w:p>
        </w:tc>
      </w:tr>
      <w:tr>
        <w:trPr>
          <w:cantSplit/>
        </w:trPr>
        <w:tc>
          <w:tcPr>
            <w:tcW w:type="dxa" w:w="1800"/>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Random Forest</w:t>
            </w:r>
          </w:p>
        </w:tc>
        <w:tc>
          <w:tcPr>
            <w:tcW w:type="dxa" w:w="1037"/>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88.89%</w:t>
            </w:r>
          </w:p>
        </w:tc>
        <w:tc>
          <w:tcPr>
            <w:tcW w:type="dxa" w:w="1109"/>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53.34%</w:t>
            </w:r>
          </w:p>
        </w:tc>
        <w:tc>
          <w:tcPr>
            <w:tcW w:type="dxa" w:w="1037"/>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39.98%</w:t>
            </w:r>
          </w:p>
        </w:tc>
        <w:tc>
          <w:tcPr>
            <w:tcW w:type="dxa" w:w="92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45.71%</w:t>
            </w:r>
          </w:p>
        </w:tc>
        <w:tc>
          <w:tcPr>
            <w:tcW w:type="dxa" w:w="109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80.56%</w:t>
            </w:r>
          </w:p>
        </w:tc>
        <w:tc>
          <w:tcPr>
            <w:tcW w:type="dxa" w:w="1037"/>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46.54%</w:t>
            </w:r>
          </w:p>
        </w:tc>
        <w:tc>
          <w:tcPr>
            <w:tcW w:type="dxa" w:w="1037"/>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0.0898</w:t>
            </w:r>
          </w:p>
        </w:tc>
      </w:tr>
      <w:tr>
        <w:trPr>
          <w:cantSplit/>
        </w:trPr>
        <w:tc>
          <w:tcPr>
            <w:tcW w:type="dxa" w:w="18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Logistic Regression</w:t>
            </w:r>
          </w:p>
        </w:tc>
        <w:tc>
          <w:tcPr>
            <w:tcW w:type="dxa" w:w="1037"/>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76.64%</w:t>
            </w:r>
          </w:p>
        </w:tc>
        <w:tc>
          <w:tcPr>
            <w:tcW w:type="dxa" w:w="1109"/>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28.06%</w:t>
            </w:r>
          </w:p>
        </w:tc>
        <w:tc>
          <w:tcPr>
            <w:tcW w:type="dxa" w:w="1037"/>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63.71%</w:t>
            </w:r>
          </w:p>
        </w:tc>
        <w:tc>
          <w:tcPr>
            <w:tcW w:type="dxa" w:w="922"/>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38.96%</w:t>
            </w:r>
          </w:p>
        </w:tc>
        <w:tc>
          <w:tcPr>
            <w:tcW w:type="dxa" w:w="1094"/>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78.21%</w:t>
            </w:r>
          </w:p>
        </w:tc>
        <w:tc>
          <w:tcPr>
            <w:tcW w:type="dxa" w:w="1037"/>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42.43%</w:t>
            </w:r>
          </w:p>
        </w:tc>
        <w:tc>
          <w:tcPr>
            <w:tcW w:type="dxa" w:w="1037"/>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0.1796</w:t>
            </w:r>
          </w:p>
        </w:tc>
      </w:tr>
      <w:tr>
        <w:trPr>
          <w:cantSplit/>
        </w:trPr>
        <w:tc>
          <w:tcPr>
            <w:tcW w:type="dxa" w:w="1800"/>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Decision Tree</w:t>
            </w:r>
          </w:p>
        </w:tc>
        <w:tc>
          <w:tcPr>
            <w:tcW w:type="dxa" w:w="1037"/>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5"/>
              </w:rPr>
              <w:t>83.84%</w:t>
            </w:r>
          </w:p>
        </w:tc>
        <w:tc>
          <w:tcPr>
            <w:tcW w:type="dxa" w:w="1109"/>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37.57%</w:t>
            </w:r>
          </w:p>
        </w:tc>
        <w:tc>
          <w:tcPr>
            <w:tcW w:type="dxa" w:w="1037"/>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57.56%</w:t>
            </w:r>
          </w:p>
        </w:tc>
        <w:tc>
          <w:tcPr>
            <w:tcW w:type="dxa" w:w="922"/>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45.46%</w:t>
            </w:r>
          </w:p>
        </w:tc>
        <w:tc>
          <w:tcPr>
            <w:tcW w:type="dxa" w:w="1094"/>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78.09%</w:t>
            </w:r>
          </w:p>
        </w:tc>
        <w:tc>
          <w:tcPr>
            <w:tcW w:type="dxa" w:w="1037"/>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40.92%</w:t>
            </w:r>
          </w:p>
        </w:tc>
        <w:tc>
          <w:tcPr>
            <w:tcW w:type="dxa" w:w="1037"/>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5"/>
              </w:rPr>
              <w:t>0.1705</w:t>
            </w:r>
          </w:p>
        </w:tc>
      </w:tr>
    </w:tbl>
    <w:p>
      <w:pPr>
        <w:spacing w:after="120" w:line="269" w:lineRule="auto"/>
        <w:jc w:val="both"/>
      </w:pPr>
      <w:r>
        <w:rPr>
          <w:rFonts w:ascii="Arial" w:hAnsi="Arial"/>
          <w:color w:val="202020"/>
          <w:sz w:val="20"/>
        </w:rPr>
        <w:t>XGBoost currently has the highest PR-AUC and recall, so it is saved as the best model under the chosen selection rule. Random Forest is more conservative: it identifies fewer subscribers but achieves higher precision, higher overall accuracy and the lowest Brier score. The preferred operational model may therefore change when campaign cost, capacity and calibration are included.</w:t>
      </w:r>
    </w:p>
    <w:p>
      <w:pPr>
        <w:pStyle w:val="Heading1"/>
        <w:keepNext/>
        <w:spacing w:before="200" w:after="100"/>
      </w:pPr>
      <w:r>
        <w:rPr>
          <w:rFonts w:ascii="Arial" w:hAnsi="Arial"/>
          <w:b/>
          <w:color w:val="000000"/>
          <w:sz w:val="30"/>
        </w:rPr>
        <w:t>9 Expected Research Contributions</w:t>
      </w:r>
    </w:p>
    <w:p>
      <w:pPr>
        <w:spacing w:after="100" w:line="259" w:lineRule="auto"/>
        <w:ind w:left="216" w:hanging="216"/>
      </w:pPr>
      <w:r>
        <w:rPr>
          <w:rFonts w:ascii="Arial" w:hAnsi="Arial"/>
          <w:b/>
          <w:color w:val="202020"/>
          <w:sz w:val="19"/>
        </w:rPr>
        <w:t xml:space="preserve">1  Deployment-valid evaluation  </w:t>
      </w:r>
      <w:r>
        <w:rPr>
          <w:rFonts w:ascii="Arial" w:hAnsi="Arial"/>
          <w:color w:val="202020"/>
          <w:sz w:val="19"/>
        </w:rPr>
        <w:t>A quantified comparison between a legitimate pre-call model and a post-call model containing duration.</w:t>
      </w:r>
    </w:p>
    <w:p>
      <w:pPr>
        <w:spacing w:after="100" w:line="259" w:lineRule="auto"/>
        <w:ind w:left="216" w:hanging="216"/>
      </w:pPr>
      <w:r>
        <w:rPr>
          <w:rFonts w:ascii="Arial" w:hAnsi="Arial"/>
          <w:b/>
          <w:color w:val="202020"/>
          <w:sz w:val="19"/>
        </w:rPr>
        <w:t xml:space="preserve">2  Feature evidence  </w:t>
      </w:r>
      <w:r>
        <w:rPr>
          <w:rFonts w:ascii="Arial" w:hAnsi="Arial"/>
          <w:color w:val="202020"/>
          <w:sz w:val="19"/>
        </w:rPr>
        <w:t>An ablation study showing the incremental value and stability of each engineered feature group.</w:t>
      </w:r>
    </w:p>
    <w:p>
      <w:pPr>
        <w:spacing w:after="100" w:line="259" w:lineRule="auto"/>
        <w:ind w:left="216" w:hanging="216"/>
      </w:pPr>
      <w:r>
        <w:rPr>
          <w:rFonts w:ascii="Arial" w:hAnsi="Arial"/>
          <w:b/>
          <w:color w:val="202020"/>
          <w:sz w:val="19"/>
        </w:rPr>
        <w:t xml:space="preserve">3  Decision-aware evaluation  </w:t>
      </w:r>
      <w:r>
        <w:rPr>
          <w:rFonts w:ascii="Arial" w:hAnsi="Arial"/>
          <w:color w:val="202020"/>
          <w:sz w:val="19"/>
        </w:rPr>
        <w:t>A threshold and top-N framework that connects classifier output to contact cost and campaign capacity.</w:t>
      </w:r>
    </w:p>
    <w:p>
      <w:pPr>
        <w:spacing w:after="100" w:line="259" w:lineRule="auto"/>
        <w:ind w:left="216" w:hanging="216"/>
      </w:pPr>
      <w:r>
        <w:rPr>
          <w:rFonts w:ascii="Arial" w:hAnsi="Arial"/>
          <w:b/>
          <w:color w:val="202020"/>
          <w:sz w:val="19"/>
        </w:rPr>
        <w:t xml:space="preserve">4  Trustworthy probabilities  </w:t>
      </w:r>
      <w:r>
        <w:rPr>
          <w:rFonts w:ascii="Arial" w:hAnsi="Arial"/>
          <w:color w:val="202020"/>
          <w:sz w:val="19"/>
        </w:rPr>
        <w:t>Calibration evidence and SHAP explanations that make scores easier to review and interpret.</w:t>
      </w:r>
    </w:p>
    <w:p>
      <w:pPr>
        <w:spacing w:after="100" w:line="259" w:lineRule="auto"/>
        <w:ind w:left="216" w:hanging="216"/>
      </w:pPr>
      <w:r>
        <w:rPr>
          <w:rFonts w:ascii="Arial" w:hAnsi="Arial"/>
          <w:b/>
          <w:color w:val="202020"/>
          <w:sz w:val="19"/>
        </w:rPr>
        <w:t xml:space="preserve">5  Robustness reporting  </w:t>
      </w:r>
      <w:r>
        <w:rPr>
          <w:rFonts w:ascii="Arial" w:hAnsi="Arial"/>
          <w:color w:val="202020"/>
          <w:sz w:val="19"/>
        </w:rPr>
        <w:t>Ordered-holdout and age-group results that disclose where performance changes or limitations appear.</w:t>
      </w:r>
    </w:p>
    <w:p>
      <w:pPr>
        <w:spacing w:after="100" w:line="259" w:lineRule="auto"/>
        <w:ind w:left="216" w:hanging="216"/>
      </w:pPr>
      <w:r>
        <w:rPr>
          <w:rFonts w:ascii="Arial" w:hAnsi="Arial"/>
          <w:b/>
          <w:color w:val="202020"/>
          <w:sz w:val="19"/>
        </w:rPr>
        <w:t xml:space="preserve">6  Reproducible application  </w:t>
      </w:r>
      <w:r>
        <w:rPr>
          <w:rFonts w:ascii="Arial" w:hAnsi="Arial"/>
          <w:color w:val="202020"/>
          <w:sz w:val="19"/>
        </w:rPr>
        <w:t>A reusable ingestion and model pipeline that accepts multiple files with the bank schema and produces ranked predictions.</w:t>
      </w:r>
    </w:p>
    <w:p>
      <w:pPr>
        <w:pStyle w:val="Heading1"/>
        <w:keepNext/>
        <w:spacing w:before="200" w:after="100"/>
      </w:pPr>
      <w:r>
        <w:rPr>
          <w:rFonts w:ascii="Arial" w:hAnsi="Arial"/>
          <w:b/>
          <w:color w:val="000000"/>
          <w:sz w:val="30"/>
        </w:rPr>
        <w:t>10 Deliverables and Completion Criteria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3312"/>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6"/>
              </w:rPr>
              <w:t>Deliverable</w:t>
            </w:r>
          </w:p>
        </w:tc>
        <w:tc>
          <w:tcPr>
            <w:tcW w:type="dxa" w:w="540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6"/>
              </w:rPr>
              <w:t>Completion Evidence</w:t>
            </w:r>
          </w:p>
        </w:tc>
        <w:tc>
          <w:tcPr>
            <w:tcW w:type="dxa" w:w="1080"/>
            <w:shd w:fill="18324A"/>
            <w:vAlign w:val="center"/>
            <w:tcMar>
              <w:top w:w="80" w:type="dxa"/>
              <w:start w:w="100" w:type="dxa"/>
              <w:bottom w:w="80" w:type="dxa"/>
              <w:end w:w="100" w:type="dxa"/>
            </w:tcMar>
          </w:tcPr>
          <w:p>
            <w:pPr>
              <w:spacing w:before="0" w:after="0" w:line="252" w:lineRule="auto"/>
              <w:jc w:val="center"/>
            </w:pPr>
            <w:r/>
            <w:r>
              <w:rPr>
                <w:rFonts w:ascii="Arial" w:hAnsi="Arial"/>
                <w:b/>
                <w:color w:val="FFFFFF"/>
                <w:sz w:val="16"/>
              </w:rPr>
              <w:t>Status</w:t>
            </w:r>
          </w:p>
        </w:tc>
      </w:tr>
      <w:tr>
        <w:trPr>
          <w:cantSplit/>
        </w:trPr>
        <w:tc>
          <w:tcPr>
            <w:tcW w:type="dxa" w:w="331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Multi-file data ingestion pipeline</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Delimiter detection, exact schema checks, normalization, duplicate removal and metadata</w:t>
            </w:r>
          </w:p>
        </w:tc>
        <w:tc>
          <w:tcPr>
            <w:tcW w:type="dxa" w:w="1080"/>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Implemented</w:t>
            </w:r>
          </w:p>
        </w:tc>
      </w:tr>
      <w:tr>
        <w:trPr>
          <w:cantSplit/>
        </w:trPr>
        <w:tc>
          <w:tcPr>
            <w:tcW w:type="dxa" w:w="331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Four trained end-to-end models</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Reloadable Logistic Regression, Decision Tree, Random Forest and XGBoost pipelines</w:t>
            </w:r>
          </w:p>
        </w:tc>
        <w:tc>
          <w:tcPr>
            <w:tcW w:type="dxa" w:w="1080"/>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Implemented</w:t>
            </w:r>
          </w:p>
        </w:tc>
      </w:tr>
      <w:tr>
        <w:trPr>
          <w:cantSplit/>
        </w:trPr>
        <w:tc>
          <w:tcPr>
            <w:tcW w:type="dxa" w:w="331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Baseline evaluation report</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Held-out metrics, confusion counts and saved reports</w:t>
            </w:r>
          </w:p>
        </w:tc>
        <w:tc>
          <w:tcPr>
            <w:tcW w:type="dxa" w:w="1080"/>
            <w:shd w:fill="FFFFFF"/>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Implemented</w:t>
            </w:r>
          </w:p>
        </w:tc>
      </w:tr>
      <w:tr>
        <w:trPr>
          <w:cantSplit/>
        </w:trPr>
        <w:tc>
          <w:tcPr>
            <w:tcW w:type="dxa" w:w="331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Duration and feature ablation study</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Controlled comparisons with confidence intervals</w:t>
            </w:r>
          </w:p>
        </w:tc>
        <w:tc>
          <w:tcPr>
            <w:tcW w:type="dxa" w:w="108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Research extension</w:t>
            </w:r>
          </w:p>
        </w:tc>
      </w:tr>
      <w:tr>
        <w:trPr>
          <w:cantSplit/>
        </w:trPr>
        <w:tc>
          <w:tcPr>
            <w:tcW w:type="dxa" w:w="331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Cost and capacity threshold analysis</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Utility and lift curves with selected decision policy</w:t>
            </w:r>
          </w:p>
        </w:tc>
        <w:tc>
          <w:tcPr>
            <w:tcW w:type="dxa" w:w="108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Research extension</w:t>
            </w:r>
          </w:p>
        </w:tc>
      </w:tr>
      <w:tr>
        <w:trPr>
          <w:cantSplit/>
        </w:trPr>
        <w:tc>
          <w:tcPr>
            <w:tcW w:type="dxa" w:w="331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Calibration and SHAP report</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Calibration curves, Brier comparison and local explanation examples</w:t>
            </w:r>
          </w:p>
        </w:tc>
        <w:tc>
          <w:tcPr>
            <w:tcW w:type="dxa" w:w="108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Research extension</w:t>
            </w:r>
          </w:p>
        </w:tc>
      </w:tr>
      <w:tr>
        <w:trPr>
          <w:cantSplit/>
        </w:trPr>
        <w:tc>
          <w:tcPr>
            <w:tcW w:type="dxa" w:w="3312"/>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Fairness and robustness report</w:t>
            </w:r>
          </w:p>
        </w:tc>
        <w:tc>
          <w:tcPr>
            <w:tcW w:type="dxa" w:w="540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Age-group and ordered-holdout comparison</w:t>
            </w:r>
          </w:p>
        </w:tc>
        <w:tc>
          <w:tcPr>
            <w:tcW w:type="dxa" w:w="1080"/>
            <w:shd w:fill="FFFFFF"/>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Research extension</w:t>
            </w:r>
          </w:p>
        </w:tc>
      </w:tr>
      <w:tr>
        <w:trPr>
          <w:cantSplit/>
        </w:trPr>
        <w:tc>
          <w:tcPr>
            <w:tcW w:type="dxa" w:w="3312"/>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Decision-support application</w:t>
            </w:r>
          </w:p>
        </w:tc>
        <w:tc>
          <w:tcPr>
            <w:tcW w:type="dxa" w:w="5400"/>
            <w:shd w:fill="F4F8FC"/>
            <w:vAlign w:val="center"/>
            <w:tcMar>
              <w:top w:w="80" w:type="dxa"/>
              <w:start w:w="100" w:type="dxa"/>
              <w:bottom w:w="80" w:type="dxa"/>
              <w:end w:w="100" w:type="dxa"/>
            </w:tcMar>
          </w:tcPr>
          <w:p>
            <w:pPr>
              <w:spacing w:before="0" w:after="0" w:line="252" w:lineRule="auto"/>
              <w:jc w:val="left"/>
            </w:pPr>
            <w:r/>
            <w:r>
              <w:rPr>
                <w:rFonts w:ascii="Arial" w:hAnsi="Arial"/>
                <w:b w:val="0"/>
                <w:color w:val="202020"/>
                <w:sz w:val="16"/>
              </w:rPr>
              <w:t>Single-customer scoring and batch-ranked customer output</w:t>
            </w:r>
          </w:p>
        </w:tc>
        <w:tc>
          <w:tcPr>
            <w:tcW w:type="dxa" w:w="1080"/>
            <w:shd w:fill="F4F8FC"/>
            <w:vAlign w:val="center"/>
            <w:tcMar>
              <w:top w:w="80" w:type="dxa"/>
              <w:start w:w="100" w:type="dxa"/>
              <w:bottom w:w="80" w:type="dxa"/>
              <w:end w:w="100" w:type="dxa"/>
            </w:tcMar>
          </w:tcPr>
          <w:p>
            <w:pPr>
              <w:spacing w:before="0" w:after="0" w:line="252" w:lineRule="auto"/>
              <w:jc w:val="center"/>
            </w:pPr>
            <w:r/>
            <w:r>
              <w:rPr>
                <w:rFonts w:ascii="Arial" w:hAnsi="Arial"/>
                <w:b w:val="0"/>
                <w:color w:val="202020"/>
                <w:sz w:val="16"/>
              </w:rPr>
              <w:t>Planned</w:t>
            </w:r>
          </w:p>
        </w:tc>
      </w:tr>
    </w:tbl>
    <w:p>
      <w:pPr>
        <w:pStyle w:val="Heading1"/>
        <w:keepNext/>
        <w:spacing w:before="200" w:after="100"/>
      </w:pPr>
      <w:r>
        <w:rPr>
          <w:rFonts w:ascii="Arial" w:hAnsi="Arial"/>
          <w:b/>
          <w:color w:val="000000"/>
          <w:sz w:val="30"/>
        </w:rPr>
        <w:t>11 Limitations</w:t>
      </w:r>
    </w:p>
    <w:p>
      <w:pPr>
        <w:pStyle w:val="ListBullet"/>
        <w:spacing w:after="60" w:line="259" w:lineRule="auto"/>
      </w:pPr>
      <w:r>
        <w:rPr>
          <w:rFonts w:ascii="Arial" w:hAnsi="Arial"/>
          <w:color w:val="202020"/>
          <w:sz w:val="19"/>
        </w:rPr>
        <w:t>The supplied records describe earlier Portuguese bank campaigns, so results may not transfer directly to another country, bank or period.</w:t>
      </w:r>
    </w:p>
    <w:p>
      <w:pPr>
        <w:pStyle w:val="ListBullet"/>
        <w:spacing w:after="60" w:line="259" w:lineRule="auto"/>
      </w:pPr>
      <w:r>
        <w:rPr>
          <w:rFonts w:ascii="Arial" w:hAnsi="Arial"/>
          <w:color w:val="202020"/>
          <w:sz w:val="19"/>
        </w:rPr>
        <w:t>An ordered row split is only a time proxy unless the record order can be confirmed as chronological.</w:t>
      </w:r>
    </w:p>
    <w:p>
      <w:pPr>
        <w:pStyle w:val="ListBullet"/>
        <w:spacing w:after="60" w:line="259" w:lineRule="auto"/>
      </w:pPr>
      <w:r>
        <w:rPr>
          <w:rFonts w:ascii="Arial" w:hAnsi="Arial"/>
          <w:color w:val="202020"/>
          <w:sz w:val="19"/>
        </w:rPr>
        <w:t>The dataset does not contain complete contact cost, customer lifetime value or modern consent variables; operational utility therefore depends on stated assumptions.</w:t>
      </w:r>
    </w:p>
    <w:p>
      <w:pPr>
        <w:pStyle w:val="ListBullet"/>
        <w:spacing w:after="60" w:line="259" w:lineRule="auto"/>
      </w:pPr>
      <w:r>
        <w:rPr>
          <w:rFonts w:ascii="Arial" w:hAnsi="Arial"/>
          <w:color w:val="202020"/>
          <w:sz w:val="19"/>
        </w:rPr>
        <w:t>Group-level fairness analysis can reveal disparities but cannot prove that the data-generation process or campaign policy is fair.</w:t>
      </w:r>
    </w:p>
    <w:p>
      <w:pPr>
        <w:pStyle w:val="ListBullet"/>
        <w:spacing w:after="60" w:line="259" w:lineRule="auto"/>
      </w:pPr>
      <w:r>
        <w:rPr>
          <w:rFonts w:ascii="Arial" w:hAnsi="Arial"/>
          <w:color w:val="202020"/>
          <w:sz w:val="19"/>
        </w:rPr>
        <w:t>SHAP explains model behaviour, not causality. A high contribution does not show that changing a customer attribute will cause subscription.</w:t>
      </w:r>
    </w:p>
    <w:p>
      <w:pPr>
        <w:pStyle w:val="Heading1"/>
        <w:keepNext/>
        <w:spacing w:before="200" w:after="100"/>
      </w:pPr>
      <w:r>
        <w:rPr>
          <w:rFonts w:ascii="Arial" w:hAnsi="Arial"/>
          <w:b/>
          <w:color w:val="000000"/>
          <w:sz w:val="30"/>
        </w:rPr>
        <w:t>12 Conclusion</w:t>
      </w:r>
    </w:p>
    <w:p>
      <w:pPr>
        <w:spacing w:after="120" w:line="269" w:lineRule="auto"/>
        <w:jc w:val="both"/>
      </w:pPr>
      <w:r>
        <w:rPr>
          <w:rFonts w:ascii="Arial" w:hAnsi="Arial"/>
          <w:color w:val="202020"/>
          <w:sz w:val="20"/>
        </w:rPr>
        <w:t>The project uses the previous Bank Marketing dataset as a controlled foundation and extends it with eight derived features, reproducible ingestion and a deployment-valid evaluation design. Its research value comes from testing whether these additions improve minority-class detection, measuring the distortion caused by call duration, and translating probability estimates into calibrated, explainable and capacity-aware campaign decisions. The objective mapping ensures that every claim is tied to a defined experiment, metric and deliverable.</w:t>
      </w:r>
    </w:p>
    <w:p>
      <w:r>
        <w:br w:type="page"/>
      </w:r>
    </w:p>
    <w:p>
      <w:pPr>
        <w:pStyle w:val="Heading1"/>
        <w:keepNext/>
        <w:spacing w:before="200" w:after="100"/>
      </w:pPr>
      <w:r>
        <w:rPr>
          <w:rFonts w:ascii="Arial" w:hAnsi="Arial"/>
          <w:b/>
          <w:color w:val="000000"/>
          <w:sz w:val="30"/>
        </w:rPr>
        <w:t>References</w:t>
      </w:r>
    </w:p>
    <w:p>
      <w:pPr>
        <w:spacing w:after="80" w:line="252" w:lineRule="auto"/>
        <w:ind w:left="317" w:hanging="317"/>
      </w:pPr>
      <w:r>
        <w:rPr>
          <w:rFonts w:ascii="Arial" w:hAnsi="Arial"/>
          <w:color w:val="202020"/>
          <w:sz w:val="17"/>
        </w:rPr>
        <w:t>1. UCI Machine Learning Repository. Bank Marketing dataset. DOI 10.24432/C5K306.</w:t>
      </w:r>
    </w:p>
    <w:p>
      <w:pPr>
        <w:spacing w:after="80" w:line="252" w:lineRule="auto"/>
        <w:ind w:left="317" w:hanging="317"/>
      </w:pPr>
      <w:r>
        <w:rPr>
          <w:rFonts w:ascii="Arial" w:hAnsi="Arial"/>
          <w:color w:val="202020"/>
          <w:sz w:val="17"/>
        </w:rPr>
        <w:t>2. Moro S, Cortez P and Rita P. 2014. A data driven approach to predict the success of bank telemarketing. Decision Support Systems 62, 22 to 31. DOI 10.1016/j.dss.2014.03.001.</w:t>
      </w:r>
    </w:p>
    <w:p>
      <w:pPr>
        <w:spacing w:after="80" w:line="252" w:lineRule="auto"/>
        <w:ind w:left="317" w:hanging="317"/>
      </w:pPr>
      <w:r>
        <w:rPr>
          <w:rFonts w:ascii="Arial" w:hAnsi="Arial"/>
          <w:color w:val="202020"/>
          <w:sz w:val="17"/>
        </w:rPr>
        <w:t>3. Moro S, Cortez P and Rita P. 2015. Using customer lifetime value and neural networks to improve the prediction of bank deposit subscription in telemarketing campaigns. Neural Computing and Applications 26, 131 to 139. DOI 10.1007/s00521-014-1703-0.</w:t>
      </w:r>
    </w:p>
    <w:p>
      <w:pPr>
        <w:spacing w:after="80" w:line="252" w:lineRule="auto"/>
        <w:ind w:left="317" w:hanging="317"/>
      </w:pPr>
      <w:r>
        <w:rPr>
          <w:rFonts w:ascii="Arial" w:hAnsi="Arial"/>
          <w:color w:val="202020"/>
          <w:sz w:val="17"/>
        </w:rPr>
        <w:t>4. Breiman L. 2001. Random Forests. Machine Learning 45, 5 to 32. DOI 10.1023/A:1010933404324.</w:t>
      </w:r>
    </w:p>
    <w:p>
      <w:pPr>
        <w:spacing w:after="80" w:line="252" w:lineRule="auto"/>
        <w:ind w:left="317" w:hanging="317"/>
      </w:pPr>
      <w:r>
        <w:rPr>
          <w:rFonts w:ascii="Arial" w:hAnsi="Arial"/>
          <w:color w:val="202020"/>
          <w:sz w:val="17"/>
        </w:rPr>
        <w:t>5. Chen T and Guestrin C. 2016. XGBoost A Scalable Tree Boosting System. Proceedings of the 22nd ACM SIGKDD International Conference on Knowledge Discovery and Data Mining, 785 to 794. DOI 10.1145/2939672.2939785.</w:t>
      </w:r>
    </w:p>
    <w:p>
      <w:pPr>
        <w:spacing w:after="80" w:line="252" w:lineRule="auto"/>
        <w:ind w:left="317" w:hanging="317"/>
      </w:pPr>
      <w:r>
        <w:rPr>
          <w:rFonts w:ascii="Arial" w:hAnsi="Arial"/>
          <w:color w:val="202020"/>
          <w:sz w:val="17"/>
        </w:rPr>
        <w:t>6. Saito T and Rehmsmeier M. 2015. The precision recall plot is more informative than the ROC plot when evaluating binary classifiers on imbalanced datasets. PLOS ONE 10 3, e0118432. DOI 10.1371/journal.pone.0118432.</w:t>
      </w:r>
    </w:p>
    <w:p>
      <w:pPr>
        <w:spacing w:after="80" w:line="252" w:lineRule="auto"/>
        <w:ind w:left="317" w:hanging="317"/>
      </w:pPr>
      <w:r>
        <w:rPr>
          <w:rFonts w:ascii="Arial" w:hAnsi="Arial"/>
          <w:color w:val="202020"/>
          <w:sz w:val="17"/>
        </w:rPr>
        <w:t>7. Lundberg S M and Lee S I. 2017. A Unified Approach to Interpreting Model Predictions. Advances in Neural Information Processing Systems 30.</w:t>
      </w:r>
    </w:p>
    <w:p>
      <w:pPr>
        <w:spacing w:after="80" w:line="252" w:lineRule="auto"/>
        <w:ind w:left="317" w:hanging="317"/>
      </w:pPr>
      <w:r>
        <w:rPr>
          <w:rFonts w:ascii="Arial" w:hAnsi="Arial"/>
          <w:color w:val="202020"/>
          <w:sz w:val="17"/>
        </w:rPr>
        <w:t>8. Niculescu Mizil A and Caruana R. 2005. Predicting Good Probabilities with Supervised Learning. Proceedings of the 22nd International Conference on Machine Learning, 625 to 632. DOI 10.1145/1102351.1102430.</w:t>
      </w:r>
    </w:p>
    <w:sectPr w:rsidR="00FC693F" w:rsidRPr="0006063C" w:rsidSect="00034616">
      <w:footerReference w:type="default" r:id="rId11"/>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04"/>
      <w:gridCol w:w="5004"/>
    </w:tblGrid>
    <w:tr>
      <w:trPr>
        <w:tblHeader w:val="true"/>
      </w:trPr>
      <w:tc>
        <w:tcPr>
          <w:tcW w:type="dxa" w:w="8064"/>
          <w:tcMar>
            <w:top w:w="0" w:type="dxa"/>
            <w:start w:w="0" w:type="dxa"/>
            <w:bottom w:w="0" w:type="dxa"/>
            <w:end w:w="0" w:type="dxa"/>
          </w:tcMar>
        </w:tcPr>
        <w:p>
          <w:pPr>
            <w:spacing w:after="0"/>
          </w:pPr>
          <w:r>
            <w:rPr>
              <w:rFonts w:ascii="Arial" w:hAnsi="Arial"/>
              <w:color w:val="595959"/>
              <w:sz w:val="16"/>
            </w:rPr>
            <w:t>Kedar Kenjalkar  |  26MAI0007</w:t>
          </w:r>
        </w:p>
      </w:tc>
      <w:tc>
        <w:tcPr>
          <w:tcW w:type="dxa" w:w="1944"/>
          <w:tcMar>
            <w:top w:w="0" w:type="dxa"/>
            <w:start w:w="0" w:type="dxa"/>
            <w:bottom w:w="0" w:type="dxa"/>
            <w:end w:w="0" w:type="dxa"/>
          </w:tcMar>
        </w:tcPr>
        <w:p>
          <w:pPr>
            <w:jc w:val="right"/>
          </w:pPr>
          <w:r>
            <w:rPr>
              <w:rFonts w:ascii="Arial" w:hAnsi="Arial"/>
              <w:color w:val="595959"/>
              <w:sz w:val="17"/>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0"/>
      <w:gridCol w:w="7200"/>
    </w:tblGrid>
    <w:tr>
      <w:trPr>
        <w:tblHeader w:val="true"/>
      </w:trPr>
      <w:tc>
        <w:tcPr>
          <w:tcW w:type="dxa" w:w="12384"/>
          <w:tcMar>
            <w:top w:w="0" w:type="dxa"/>
            <w:start w:w="0" w:type="dxa"/>
            <w:bottom w:w="0" w:type="dxa"/>
            <w:end w:w="0" w:type="dxa"/>
          </w:tcMar>
        </w:tcPr>
        <w:p>
          <w:pPr>
            <w:spacing w:after="0"/>
          </w:pPr>
          <w:r>
            <w:rPr>
              <w:rFonts w:ascii="Arial" w:hAnsi="Arial"/>
              <w:color w:val="595959"/>
              <w:sz w:val="16"/>
            </w:rPr>
            <w:t>Kedar Kenjalkar  |  26MAI0007</w:t>
          </w:r>
        </w:p>
      </w:tc>
      <w:tc>
        <w:tcPr>
          <w:tcW w:type="dxa" w:w="1944"/>
          <w:tcMar>
            <w:top w:w="0" w:type="dxa"/>
            <w:start w:w="0" w:type="dxa"/>
            <w:bottom w:w="0" w:type="dxa"/>
            <w:end w:w="0" w:type="dxa"/>
          </w:tcMar>
        </w:tcPr>
        <w:p>
          <w:pPr>
            <w:jc w:val="right"/>
          </w:pPr>
          <w:r>
            <w:rPr>
              <w:rFonts w:ascii="Arial" w:hAnsi="Arial"/>
              <w:color w:val="595959"/>
              <w:sz w:val="17"/>
            </w:rP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04"/>
      <w:gridCol w:w="5004"/>
    </w:tblGrid>
    <w:tr>
      <w:trPr>
        <w:tblHeader w:val="true"/>
      </w:trPr>
      <w:tc>
        <w:tcPr>
          <w:tcW w:type="dxa" w:w="8064"/>
          <w:tcMar>
            <w:top w:w="0" w:type="dxa"/>
            <w:start w:w="0" w:type="dxa"/>
            <w:bottom w:w="0" w:type="dxa"/>
            <w:end w:w="0" w:type="dxa"/>
          </w:tcMar>
        </w:tcPr>
        <w:p>
          <w:pPr>
            <w:spacing w:after="0"/>
          </w:pPr>
          <w:r>
            <w:rPr>
              <w:rFonts w:ascii="Arial" w:hAnsi="Arial"/>
              <w:color w:val="595959"/>
              <w:sz w:val="16"/>
            </w:rPr>
            <w:t>Kedar Kenjalkar  |  26MAI0007</w:t>
          </w:r>
        </w:p>
      </w:tc>
      <w:tc>
        <w:tcPr>
          <w:tcW w:type="dxa" w:w="1944"/>
          <w:tcMar>
            <w:top w:w="0" w:type="dxa"/>
            <w:start w:w="0" w:type="dxa"/>
            <w:bottom w:w="0" w:type="dxa"/>
            <w:end w:w="0" w:type="dxa"/>
          </w:tcMar>
        </w:tcPr>
        <w:p>
          <w:pPr>
            <w:jc w:val="right"/>
          </w:pPr>
          <w:r>
            <w:rPr>
              <w:rFonts w:ascii="Arial" w:hAnsi="Arial"/>
              <w:color w:val="595959"/>
              <w:sz w:val="17"/>
            </w:rPr>
            <w:fldChar w:fldCharType="begin"/>
            <w:instrText xml:space="preserve"> PAGE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Objective Mapping for Bank Term Deposit Subscription Prediction</dc:title>
  <dc:subject>Machine Learning and Applications</dc:subject>
  <dc:creator>Kedar Kenjalkar</dc:creator>
  <cp:keywords>bank marketing, term deposit, machine learning, XGBoost, random forest, research objectives</cp:keywords>
  <dc:description>generated by python-docx</dc:description>
  <cp:lastModifiedBy/>
  <cp:revision>1</cp:revision>
  <dcterms:created xsi:type="dcterms:W3CDTF">2013-12-23T23:15:00Z</dcterms:created>
  <dcterms:modified xsi:type="dcterms:W3CDTF">2013-12-23T23:15:00Z</dcterms:modified>
  <cp:category/>
</cp:coreProperties>
</file>