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A" w:val="clear"/>
        <w:spacing w:after="0" w:before="0" w:line="360"/>
        <w:jc w:val="center"/>
      </w:pPr>
      <w:r>
        <w:rPr>
          <w:rFonts w:ascii="Arial" w:cs="Arial" w:eastAsia="Arial" w:hAnsi="Arial"/>
          <w:color w:val="0A0A0A"/>
          <w:sz w:val="20"/>
          <w:szCs w:val="20"/>
        </w:rPr>
        <w:br/>
        <w:t xml:space="preserve"/>
      </w:r>
      <w:r>
        <w:rPr>
          <w:rFonts w:ascii="Arial" w:cs="Arial" w:eastAsia="Arial" w:hAnsi="Arial"/>
          <w:b/>
          <w:bCs/>
          <w:caps/>
          <w:color w:val="FFFFFF"/>
          <w:sz w:val="40"/>
          <w:szCs w:val="40"/>
        </w:rPr>
        <w:t xml:space="preserve">PORTFOLIO RISK ANALYTICS PLATFORM</w:t>
      </w:r>
      <w:r>
        <w:rPr>
          <w:rFonts w:ascii="Arial" w:cs="Arial" w:eastAsia="Arial" w:hAnsi="Arial"/>
          <w:color w:val="0A0A0A"/>
          <w:sz w:val="14"/>
          <w:szCs w:val="14"/>
        </w:rPr>
        <w:br/>
        <w:t xml:space="preserve"/>
      </w:r>
      <w:r>
        <w:rPr>
          <w:rFonts w:ascii="Arial" w:cs="Arial" w:eastAsia="Arial" w:hAnsi="Arial"/>
          <w:i/>
          <w:iCs/>
          <w:color w:val="A8C4E0"/>
          <w:sz w:val="24"/>
          <w:szCs w:val="24"/>
        </w:rPr>
        <w:t xml:space="preserve">Step 3 — Stock Universe &amp; Simulated Portfolio</w:t>
      </w:r>
      <w:r>
        <w:rPr>
          <w:rFonts w:ascii="Arial" w:cs="Arial" w:eastAsia="Arial" w:hAnsi="Arial"/>
          <w:color w:val="0A0A0A"/>
          <w:sz w:val="14"/>
          <w:szCs w:val="14"/>
        </w:rPr>
        <w:br/>
        <w:t xml:space="preserve"/>
      </w:r>
      <w:r>
        <w:rPr>
          <w:rFonts w:ascii="Arial" w:cs="Arial" w:eastAsia="Arial" w:hAnsi="Arial"/>
          <w:color w:val="7BA8CC"/>
          <w:sz w:val="18"/>
          <w:szCs w:val="18"/>
        </w:rPr>
        <w:t xml:space="preserve">Document Type: Portfolio Specification  |  Version: 1.0  |  May 2026</w:t>
      </w:r>
      <w:r>
        <w:rPr>
          <w:rFonts w:ascii="Arial" w:cs="Arial" w:eastAsia="Arial" w:hAnsi="Arial"/>
          <w:color w:val="0A0A0A"/>
          <w:sz w:val="20"/>
          <w:szCs w:val="20"/>
        </w:rPr>
        <w:br/>
        <w:t xml:space="preserve"/>
      </w:r>
    </w:p>
    <w:p>
      <w:pPr>
        <w:spacing w:after="0" w:before="2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D0D5DD" w:sz="1"/>
              <w:left w:val="single" w:color="D0D5DD" w:sz="1"/>
              <w:bottom w:val="single" w:color="D0D5DD" w:sz="1"/>
              <w:right w:val="single" w:color="D0D5DD" w:sz="1"/>
            </w:tcBorders>
            <w:shd w:fill="1B2A4A" w:val="clear"/>
            <w:tcMar>
              <w:top w:type="dxa" w:w="85"/>
              <w:left w:type="dxa" w:w="120"/>
              <w:bottom w:type="dxa" w:w="85"/>
              <w:right w:type="dxa" w:w="120"/>
            </w:tcMar>
          </w:tcPr>
          <w:p>
            <w:pPr>
              <w:jc w:val="left"/>
            </w:pPr>
            <w:r>
              <w:rPr>
                <w:rFonts w:ascii="Arial" w:cs="Arial" w:eastAsia="Arial" w:hAnsi="Arial"/>
                <w:b/>
                <w:bCs/>
                <w:i w:val="false"/>
                <w:iCs w:val="false"/>
                <w:color w:val="FFFFFF"/>
                <w:sz w:val="18"/>
                <w:szCs w:val="18"/>
              </w:rPr>
              <w:t xml:space="preserve">STOCKS</w:t>
            </w:r>
          </w:p>
        </w:tc>
        <w:tc>
          <w:tcPr>
            <w:tcW w:type="dxa" w:w="1872"/>
            <w:tcBorders>
              <w:top w:val="single" w:color="D0D5DD" w:sz="1"/>
              <w:left w:val="single" w:color="D0D5DD" w:sz="1"/>
              <w:bottom w:val="single" w:color="D0D5DD" w:sz="1"/>
              <w:right w:val="single" w:color="D0D5DD" w:sz="1"/>
            </w:tcBorders>
            <w:shd w:fill="1B2A4A" w:val="clear"/>
            <w:tcMar>
              <w:top w:type="dxa" w:w="85"/>
              <w:left w:type="dxa" w:w="120"/>
              <w:bottom w:type="dxa" w:w="85"/>
              <w:right w:type="dxa" w:w="120"/>
            </w:tcMar>
          </w:tcPr>
          <w:p>
            <w:pPr>
              <w:jc w:val="left"/>
            </w:pPr>
            <w:r>
              <w:rPr>
                <w:rFonts w:ascii="Arial" w:cs="Arial" w:eastAsia="Arial" w:hAnsi="Arial"/>
                <w:b/>
                <w:bCs/>
                <w:i w:val="false"/>
                <w:iCs w:val="false"/>
                <w:color w:val="FFFFFF"/>
                <w:sz w:val="18"/>
                <w:szCs w:val="18"/>
              </w:rPr>
              <w:t xml:space="preserve">SECTORS</w:t>
            </w:r>
          </w:p>
        </w:tc>
        <w:tc>
          <w:tcPr>
            <w:tcW w:type="dxa" w:w="1872"/>
            <w:tcBorders>
              <w:top w:val="single" w:color="D0D5DD" w:sz="1"/>
              <w:left w:val="single" w:color="D0D5DD" w:sz="1"/>
              <w:bottom w:val="single" w:color="D0D5DD" w:sz="1"/>
              <w:right w:val="single" w:color="D0D5DD" w:sz="1"/>
            </w:tcBorders>
            <w:shd w:fill="1B2A4A" w:val="clear"/>
            <w:tcMar>
              <w:top w:type="dxa" w:w="85"/>
              <w:left w:type="dxa" w:w="120"/>
              <w:bottom w:type="dxa" w:w="85"/>
              <w:right w:type="dxa" w:w="120"/>
            </w:tcMar>
          </w:tcPr>
          <w:p>
            <w:pPr>
              <w:jc w:val="left"/>
            </w:pPr>
            <w:r>
              <w:rPr>
                <w:rFonts w:ascii="Arial" w:cs="Arial" w:eastAsia="Arial" w:hAnsi="Arial"/>
                <w:b/>
                <w:bCs/>
                <w:i w:val="false"/>
                <w:iCs w:val="false"/>
                <w:color w:val="FFFFFF"/>
                <w:sz w:val="18"/>
                <w:szCs w:val="18"/>
              </w:rPr>
              <w:t xml:space="preserve">BENCHMARK</w:t>
            </w:r>
          </w:p>
        </w:tc>
        <w:tc>
          <w:tcPr>
            <w:tcW w:type="dxa" w:w="1872"/>
            <w:tcBorders>
              <w:top w:val="single" w:color="D0D5DD" w:sz="1"/>
              <w:left w:val="single" w:color="D0D5DD" w:sz="1"/>
              <w:bottom w:val="single" w:color="D0D5DD" w:sz="1"/>
              <w:right w:val="single" w:color="D0D5DD" w:sz="1"/>
            </w:tcBorders>
            <w:shd w:fill="1B2A4A" w:val="clear"/>
            <w:tcMar>
              <w:top w:type="dxa" w:w="85"/>
              <w:left w:type="dxa" w:w="120"/>
              <w:bottom w:type="dxa" w:w="85"/>
              <w:right w:type="dxa" w:w="120"/>
            </w:tcMar>
          </w:tcPr>
          <w:p>
            <w:pPr>
              <w:jc w:val="left"/>
            </w:pPr>
            <w:r>
              <w:rPr>
                <w:rFonts w:ascii="Arial" w:cs="Arial" w:eastAsia="Arial" w:hAnsi="Arial"/>
                <w:b/>
                <w:bCs/>
                <w:i w:val="false"/>
                <w:iCs w:val="false"/>
                <w:color w:val="FFFFFF"/>
                <w:sz w:val="18"/>
                <w:szCs w:val="18"/>
              </w:rPr>
              <w:t xml:space="preserve">MAX WT</w:t>
            </w:r>
          </w:p>
        </w:tc>
        <w:tc>
          <w:tcPr>
            <w:tcW w:type="dxa" w:w="1872"/>
            <w:tcBorders>
              <w:top w:val="single" w:color="D0D5DD" w:sz="1"/>
              <w:left w:val="single" w:color="D0D5DD" w:sz="1"/>
              <w:bottom w:val="single" w:color="D0D5DD" w:sz="1"/>
              <w:right w:val="single" w:color="D0D5DD" w:sz="1"/>
            </w:tcBorders>
            <w:shd w:fill="1B2A4A" w:val="clear"/>
            <w:tcMar>
              <w:top w:type="dxa" w:w="85"/>
              <w:left w:type="dxa" w:w="120"/>
              <w:bottom w:type="dxa" w:w="85"/>
              <w:right w:type="dxa" w:w="120"/>
            </w:tcMar>
          </w:tcPr>
          <w:p>
            <w:pPr>
              <w:jc w:val="left"/>
            </w:pPr>
            <w:r>
              <w:rPr>
                <w:rFonts w:ascii="Arial" w:cs="Arial" w:eastAsia="Arial" w:hAnsi="Arial"/>
                <w:b/>
                <w:bCs/>
                <w:i w:val="false"/>
                <w:iCs w:val="false"/>
                <w:color w:val="FFFFFF"/>
                <w:sz w:val="18"/>
                <w:szCs w:val="18"/>
              </w:rPr>
              <w:t xml:space="preserve">MIN WT</w:t>
            </w:r>
          </w:p>
        </w:tc>
      </w:tr>
      <w:tr>
        <w:tc>
          <w:tcPr>
            <w:tcW w:type="dxa" w:w="1872"/>
            <w:tcBorders>
              <w:top w:val="single" w:color="D0D5DD" w:sz="1"/>
              <w:left w:val="single" w:color="D0D5DD" w:sz="1"/>
              <w:bottom w:val="single" w:color="D0D5DD" w:sz="1"/>
              <w:right w:val="single" w:color="D0D5DD" w:sz="1"/>
            </w:tcBorders>
            <w:shd w:fill="D6E4F0" w:val="clear"/>
            <w:tcMar>
              <w:top w:type="dxa" w:w="85"/>
              <w:left w:type="dxa" w:w="120"/>
              <w:bottom w:type="dxa" w:w="85"/>
              <w:right w:type="dxa" w:w="120"/>
            </w:tcMar>
          </w:tcPr>
          <w:p>
            <w:pPr>
              <w:jc w:val="center"/>
            </w:pPr>
            <w:r>
              <w:rPr>
                <w:rFonts w:ascii="Arial" w:cs="Arial" w:eastAsia="Arial" w:hAnsi="Arial"/>
                <w:b/>
                <w:bCs/>
                <w:i w:val="false"/>
                <w:iCs w:val="false"/>
                <w:color w:val="1B2A4A"/>
                <w:sz w:val="22"/>
                <w:szCs w:val="22"/>
              </w:rPr>
              <w:t xml:space="preserve">25</w:t>
            </w:r>
          </w:p>
        </w:tc>
        <w:tc>
          <w:tcPr>
            <w:tcW w:type="dxa" w:w="1872"/>
            <w:tcBorders>
              <w:top w:val="single" w:color="D0D5DD" w:sz="1"/>
              <w:left w:val="single" w:color="D0D5DD" w:sz="1"/>
              <w:bottom w:val="single" w:color="D0D5DD" w:sz="1"/>
              <w:right w:val="single" w:color="D0D5DD" w:sz="1"/>
            </w:tcBorders>
            <w:shd w:fill="D6E4F0" w:val="clear"/>
            <w:tcMar>
              <w:top w:type="dxa" w:w="85"/>
              <w:left w:type="dxa" w:w="120"/>
              <w:bottom w:type="dxa" w:w="85"/>
              <w:right w:type="dxa" w:w="120"/>
            </w:tcMar>
          </w:tcPr>
          <w:p>
            <w:pPr>
              <w:jc w:val="center"/>
            </w:pPr>
            <w:r>
              <w:rPr>
                <w:rFonts w:ascii="Arial" w:cs="Arial" w:eastAsia="Arial" w:hAnsi="Arial"/>
                <w:b/>
                <w:bCs/>
                <w:i w:val="false"/>
                <w:iCs w:val="false"/>
                <w:color w:val="1B2A4A"/>
                <w:sz w:val="22"/>
                <w:szCs w:val="22"/>
              </w:rPr>
              <w:t xml:space="preserve">5</w:t>
            </w:r>
          </w:p>
        </w:tc>
        <w:tc>
          <w:tcPr>
            <w:tcW w:type="dxa" w:w="1872"/>
            <w:tcBorders>
              <w:top w:val="single" w:color="D0D5DD" w:sz="1"/>
              <w:left w:val="single" w:color="D0D5DD" w:sz="1"/>
              <w:bottom w:val="single" w:color="D0D5DD" w:sz="1"/>
              <w:right w:val="single" w:color="D0D5DD" w:sz="1"/>
            </w:tcBorders>
            <w:shd w:fill="D6E4F0" w:val="clear"/>
            <w:tcMar>
              <w:top w:type="dxa" w:w="85"/>
              <w:left w:type="dxa" w:w="120"/>
              <w:bottom w:type="dxa" w:w="85"/>
              <w:right w:type="dxa" w:w="120"/>
            </w:tcMar>
          </w:tcPr>
          <w:p>
            <w:pPr>
              <w:jc w:val="center"/>
            </w:pPr>
            <w:r>
              <w:rPr>
                <w:rFonts w:ascii="Arial" w:cs="Arial" w:eastAsia="Arial" w:hAnsi="Arial"/>
                <w:b/>
                <w:bCs/>
                <w:i w:val="false"/>
                <w:iCs w:val="false"/>
                <w:color w:val="1B2A4A"/>
                <w:sz w:val="22"/>
                <w:szCs w:val="22"/>
              </w:rPr>
              <w:t xml:space="preserve">SPY</w:t>
            </w:r>
          </w:p>
        </w:tc>
        <w:tc>
          <w:tcPr>
            <w:tcW w:type="dxa" w:w="1872"/>
            <w:tcBorders>
              <w:top w:val="single" w:color="D0D5DD" w:sz="1"/>
              <w:left w:val="single" w:color="D0D5DD" w:sz="1"/>
              <w:bottom w:val="single" w:color="D0D5DD" w:sz="1"/>
              <w:right w:val="single" w:color="D0D5DD" w:sz="1"/>
            </w:tcBorders>
            <w:shd w:fill="D6E4F0" w:val="clear"/>
            <w:tcMar>
              <w:top w:type="dxa" w:w="85"/>
              <w:left w:type="dxa" w:w="120"/>
              <w:bottom w:type="dxa" w:w="85"/>
              <w:right w:type="dxa" w:w="120"/>
            </w:tcMar>
          </w:tcPr>
          <w:p>
            <w:pPr>
              <w:jc w:val="center"/>
            </w:pPr>
            <w:r>
              <w:rPr>
                <w:rFonts w:ascii="Arial" w:cs="Arial" w:eastAsia="Arial" w:hAnsi="Arial"/>
                <w:b/>
                <w:bCs/>
                <w:i w:val="false"/>
                <w:iCs w:val="false"/>
                <w:color w:val="1B2A4A"/>
                <w:sz w:val="22"/>
                <w:szCs w:val="22"/>
              </w:rPr>
              <w:t xml:space="preserve">6%</w:t>
            </w:r>
          </w:p>
        </w:tc>
        <w:tc>
          <w:tcPr>
            <w:tcW w:type="dxa" w:w="1872"/>
            <w:tcBorders>
              <w:top w:val="single" w:color="D0D5DD" w:sz="1"/>
              <w:left w:val="single" w:color="D0D5DD" w:sz="1"/>
              <w:bottom w:val="single" w:color="D0D5DD" w:sz="1"/>
              <w:right w:val="single" w:color="D0D5DD" w:sz="1"/>
            </w:tcBorders>
            <w:shd w:fill="D6E4F0" w:val="clear"/>
            <w:tcMar>
              <w:top w:type="dxa" w:w="85"/>
              <w:left w:type="dxa" w:w="120"/>
              <w:bottom w:type="dxa" w:w="85"/>
              <w:right w:type="dxa" w:w="120"/>
            </w:tcMar>
          </w:tcPr>
          <w:p>
            <w:pPr>
              <w:jc w:val="center"/>
            </w:pPr>
            <w:r>
              <w:rPr>
                <w:rFonts w:ascii="Arial" w:cs="Arial" w:eastAsia="Arial" w:hAnsi="Arial"/>
                <w:b/>
                <w:bCs/>
                <w:i w:val="false"/>
                <w:iCs w:val="false"/>
                <w:color w:val="1B2A4A"/>
                <w:sz w:val="22"/>
                <w:szCs w:val="22"/>
              </w:rPr>
              <w:t xml:space="preserve">2%</w:t>
            </w:r>
          </w:p>
        </w:tc>
      </w:tr>
    </w:tbl>
    <w:p>
      <w:pPr>
        <w:spacing w:after="0" w:before="200"/>
      </w:pPr>
    </w:p>
    <w:p>
      <w:pPr>
        <w:spacing w:after="0" w:before="200"/>
      </w:pPr>
    </w:p>
    <w:p>
      <w:pPr>
        <w:spacing w:after="60" w:before="0"/>
      </w:pPr>
      <w:r>
        <w:rPr>
          <w:rFonts w:ascii="Arial" w:cs="Arial" w:eastAsia="Arial" w:hAnsi="Arial"/>
          <w:b/>
          <w:bCs/>
          <w:color w:val="C8861A"/>
          <w:sz w:val="27"/>
          <w:szCs w:val="27"/>
        </w:rPr>
        <w:t xml:space="preserve">01  </w:t>
      </w:r>
      <w:r>
        <w:rPr>
          <w:rFonts w:ascii="Arial" w:cs="Arial" w:eastAsia="Arial" w:hAnsi="Arial"/>
          <w:b/>
          <w:bCs/>
          <w:color w:val="1B2A4A"/>
          <w:sz w:val="27"/>
          <w:szCs w:val="27"/>
        </w:rPr>
        <w:t xml:space="preserve">Portfolio Design Rationale</w:t>
      </w:r>
    </w:p>
    <w:p>
      <w:pPr>
        <w:pBdr>
          <w:bottom w:val="single" w:color="2E5FA3" w:sz="8" w:space="1"/>
        </w:pBdr>
        <w:spacing w:after="120" w:before="0"/>
      </w:pPr>
    </w:p>
    <w:p>
      <w:pPr>
        <w:spacing w:after="0" w:before="80"/>
      </w:pPr>
    </w:p>
    <w:p>
      <w:r>
        <w:rPr>
          <w:rFonts w:ascii="Arial" w:cs="Arial" w:eastAsia="Arial" w:hAnsi="Arial"/>
          <w:color w:val="0A0A0A"/>
          <w:sz w:val="20"/>
          <w:szCs w:val="20"/>
        </w:rPr>
        <w:t xml:space="preserve">The portfolio is designed to reflect a realistic, investable mix that an analyst at a mid-size fund might actually monitor. Three principles guided every decision:</w:t>
      </w:r>
    </w:p>
    <w:p>
      <w:pPr>
        <w:spacing w:after="0" w:before="80"/>
      </w:pPr>
    </w:p>
    <w:p>
      <w:pPr>
        <w:pStyle w:val="ListParagraph"/>
        <w:numPr>
          <w:ilvl w:val="0"/>
          <w:numId w:val="2"/>
        </w:numPr>
      </w:pPr>
      <w:r>
        <w:rPr>
          <w:rFonts w:ascii="Arial" w:cs="Arial" w:eastAsia="Arial" w:hAnsi="Arial"/>
          <w:color w:val="0A0A0A"/>
          <w:sz w:val="20"/>
          <w:szCs w:val="20"/>
        </w:rPr>
        <w:t xml:space="preserve">Sector conviction, not equal weighting — Technology and Financials receive the largest allocations because they drive the broadest economic signals and generate the richest risk data to analyse</w:t>
      </w:r>
    </w:p>
    <w:p>
      <w:pPr>
        <w:pStyle w:val="ListParagraph"/>
        <w:numPr>
          <w:ilvl w:val="0"/>
          <w:numId w:val="2"/>
        </w:numPr>
      </w:pPr>
      <w:r>
        <w:rPr>
          <w:rFonts w:ascii="Arial" w:cs="Arial" w:eastAsia="Arial" w:hAnsi="Arial"/>
          <w:color w:val="0A0A0A"/>
          <w:sz w:val="20"/>
          <w:szCs w:val="20"/>
        </w:rPr>
        <w:t xml:space="preserve">North American scope — four Canadian listings (RY, TD, CNQ, and CNQ cross-listed on NYSE) add cross-border exposure without requiring currency conversion in the analytics layer, since all trade in USD on NYSE</w:t>
      </w:r>
    </w:p>
    <w:p>
      <w:pPr>
        <w:pStyle w:val="ListParagraph"/>
        <w:numPr>
          <w:ilvl w:val="0"/>
          <w:numId w:val="2"/>
        </w:numPr>
      </w:pPr>
      <w:r>
        <w:rPr>
          <w:rFonts w:ascii="Arial" w:cs="Arial" w:eastAsia="Arial" w:hAnsi="Arial"/>
          <w:color w:val="0A0A0A"/>
          <w:sz w:val="20"/>
          <w:szCs w:val="20"/>
        </w:rPr>
        <w:t xml:space="preserve">Weight spread for interesting analytics — using five distinct weight bands (2%, 3%, 4%, 5%, 6%) means the portfolio contribution and concentration analysis will show meaningful differences across positions</w:t>
      </w:r>
    </w:p>
    <w:p>
      <w:pPr>
        <w:spacing w:after="0" w:before="140"/>
      </w:pPr>
    </w:p>
    <w:p>
      <w:pPr>
        <w:spacing w:after="0" w:before="200"/>
      </w:pPr>
    </w:p>
    <w:p>
      <w:pPr>
        <w:spacing w:after="60" w:before="0"/>
      </w:pPr>
      <w:r>
        <w:rPr>
          <w:rFonts w:ascii="Arial" w:cs="Arial" w:eastAsia="Arial" w:hAnsi="Arial"/>
          <w:b/>
          <w:bCs/>
          <w:color w:val="C8861A"/>
          <w:sz w:val="27"/>
          <w:szCs w:val="27"/>
        </w:rPr>
        <w:t xml:space="preserve">02  </w:t>
      </w:r>
      <w:r>
        <w:rPr>
          <w:rFonts w:ascii="Arial" w:cs="Arial" w:eastAsia="Arial" w:hAnsi="Arial"/>
          <w:b/>
          <w:bCs/>
          <w:color w:val="1B2A4A"/>
          <w:sz w:val="27"/>
          <w:szCs w:val="27"/>
        </w:rPr>
        <w:t xml:space="preserve">Sector Allocation Summary</w:t>
      </w:r>
    </w:p>
    <w:p>
      <w:pPr>
        <w:pBdr>
          <w:bottom w:val="single" w:color="2E5FA3" w:sz="8" w:space="1"/>
        </w:pBdr>
        <w:spacing w:after="120" w:before="0"/>
      </w:pP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80"/>
        <w:gridCol w:w="1560"/>
        <w:gridCol w:w="4680"/>
      </w:tblGrid>
      <w:tr>
        <w:tc>
          <w:tcPr>
            <w:tcW w:type="dxa" w:w="2340"/>
            <w:tcBorders>
              <w:top w:val="single" w:color="D0D5DD" w:sz="1"/>
              <w:left w:val="single" w:color="D0D5DD" w:sz="1"/>
              <w:bottom w:val="single" w:color="D0D5DD" w:sz="1"/>
              <w:right w:val="single" w:color="D0D5DD" w:sz="1"/>
            </w:tcBorders>
            <w:shd w:fill="1B2A4A" w:val="clear"/>
            <w:tcMar>
              <w:top w:type="dxa" w:w="85"/>
              <w:left w:type="dxa" w:w="120"/>
              <w:bottom w:type="dxa" w:w="85"/>
              <w:right w:type="dxa" w:w="120"/>
            </w:tcMar>
          </w:tcPr>
          <w:p>
            <w:pPr>
              <w:jc w:val="left"/>
            </w:pPr>
            <w:r>
              <w:rPr>
                <w:rFonts w:ascii="Arial" w:cs="Arial" w:eastAsia="Arial" w:hAnsi="Arial"/>
                <w:b/>
                <w:bCs/>
                <w:i w:val="false"/>
                <w:iCs w:val="false"/>
                <w:color w:val="FFFFFF"/>
                <w:sz w:val="18"/>
                <w:szCs w:val="18"/>
              </w:rPr>
              <w:t xml:space="preserve">Sector</w:t>
            </w:r>
          </w:p>
        </w:tc>
        <w:tc>
          <w:tcPr>
            <w:tcW w:type="dxa" w:w="780"/>
            <w:tcBorders>
              <w:top w:val="single" w:color="D0D5DD" w:sz="1"/>
              <w:left w:val="single" w:color="D0D5DD" w:sz="1"/>
              <w:bottom w:val="single" w:color="D0D5DD" w:sz="1"/>
              <w:right w:val="single" w:color="D0D5DD" w:sz="1"/>
            </w:tcBorders>
            <w:shd w:fill="1B2A4A" w:val="clear"/>
            <w:tcMar>
              <w:top w:type="dxa" w:w="85"/>
              <w:left w:type="dxa" w:w="120"/>
              <w:bottom w:type="dxa" w:w="85"/>
              <w:right w:type="dxa" w:w="120"/>
            </w:tcMar>
          </w:tcPr>
          <w:p>
            <w:pPr>
              <w:jc w:val="left"/>
            </w:pPr>
            <w:r>
              <w:rPr>
                <w:rFonts w:ascii="Arial" w:cs="Arial" w:eastAsia="Arial" w:hAnsi="Arial"/>
                <w:b/>
                <w:bCs/>
                <w:i w:val="false"/>
                <w:iCs w:val="false"/>
                <w:color w:val="FFFFFF"/>
                <w:sz w:val="18"/>
                <w:szCs w:val="18"/>
              </w:rPr>
              <w:t xml:space="preserve">Stocks</w:t>
            </w:r>
          </w:p>
        </w:tc>
        <w:tc>
          <w:tcPr>
            <w:tcW w:type="dxa" w:w="1560"/>
            <w:tcBorders>
              <w:top w:val="single" w:color="D0D5DD" w:sz="1"/>
              <w:left w:val="single" w:color="D0D5DD" w:sz="1"/>
              <w:bottom w:val="single" w:color="D0D5DD" w:sz="1"/>
              <w:right w:val="single" w:color="D0D5DD" w:sz="1"/>
            </w:tcBorders>
            <w:shd w:fill="1B2A4A" w:val="clear"/>
            <w:tcMar>
              <w:top w:type="dxa" w:w="85"/>
              <w:left w:type="dxa" w:w="120"/>
              <w:bottom w:type="dxa" w:w="85"/>
              <w:right w:type="dxa" w:w="120"/>
            </w:tcMar>
          </w:tcPr>
          <w:p>
            <w:pPr>
              <w:jc w:val="left"/>
            </w:pPr>
            <w:r>
              <w:rPr>
                <w:rFonts w:ascii="Arial" w:cs="Arial" w:eastAsia="Arial" w:hAnsi="Arial"/>
                <w:b/>
                <w:bCs/>
                <w:i w:val="false"/>
                <w:iCs w:val="false"/>
                <w:color w:val="FFFFFF"/>
                <w:sz w:val="18"/>
                <w:szCs w:val="18"/>
              </w:rPr>
              <w:t xml:space="preserve">Weight</w:t>
            </w:r>
          </w:p>
        </w:tc>
        <w:tc>
          <w:tcPr>
            <w:tcW w:type="dxa" w:w="4680"/>
            <w:tcBorders>
              <w:top w:val="single" w:color="D0D5DD" w:sz="1"/>
              <w:left w:val="single" w:color="D0D5DD" w:sz="1"/>
              <w:bottom w:val="single" w:color="D0D5DD" w:sz="1"/>
              <w:right w:val="single" w:color="D0D5DD" w:sz="1"/>
            </w:tcBorders>
            <w:shd w:fill="1B2A4A" w:val="clear"/>
            <w:tcMar>
              <w:top w:type="dxa" w:w="85"/>
              <w:left w:type="dxa" w:w="120"/>
              <w:bottom w:type="dxa" w:w="85"/>
              <w:right w:type="dxa" w:w="120"/>
            </w:tcMar>
          </w:tcPr>
          <w:p>
            <w:pPr>
              <w:jc w:val="left"/>
            </w:pPr>
            <w:r>
              <w:rPr>
                <w:rFonts w:ascii="Arial" w:cs="Arial" w:eastAsia="Arial" w:hAnsi="Arial"/>
                <w:b/>
                <w:bCs/>
                <w:i w:val="false"/>
                <w:iCs w:val="false"/>
                <w:color w:val="FFFFFF"/>
                <w:sz w:val="18"/>
                <w:szCs w:val="18"/>
              </w:rPr>
              <w:t xml:space="preserve">Allocation Bar  (each █ ≈ 0.83%)</w:t>
            </w:r>
          </w:p>
        </w:tc>
      </w:tr>
      <w:tr>
        <w:tc>
          <w:tcPr>
            <w:tcW w:type="dxa" w:w="2340"/>
            <w:tcBorders>
              <w:top w:val="single" w:color="D0D5DD" w:sz="1"/>
              <w:left w:val="single" w:color="D0D5DD" w:sz="1"/>
              <w:bottom w:val="single" w:color="D0D5DD" w:sz="1"/>
              <w:right w:val="single" w:color="D0D5DD" w:sz="1"/>
            </w:tcBorders>
            <w:shd w:fill="F4F6F8" w:val="clear"/>
            <w:tcMar>
              <w:top w:type="dxa" w:w="85"/>
              <w:left w:type="dxa" w:w="120"/>
              <w:bottom w:type="dxa" w:w="85"/>
              <w:right w:type="dxa" w:w="120"/>
            </w:tcMar>
          </w:tcPr>
          <w:p>
            <w:pPr>
              <w:jc w:val="left"/>
            </w:pPr>
            <w:r>
              <w:rPr>
                <w:rFonts w:ascii="Arial" w:cs="Arial" w:eastAsia="Arial" w:hAnsi="Arial"/>
                <w:b/>
                <w:bCs/>
                <w:i w:val="false"/>
                <w:iCs w:val="false"/>
                <w:color w:val="1A5276"/>
                <w:sz w:val="19"/>
                <w:szCs w:val="19"/>
              </w:rPr>
              <w:t xml:space="preserve">Technology</w:t>
            </w:r>
          </w:p>
        </w:tc>
        <w:tc>
          <w:tcPr>
            <w:tcW w:type="dxa" w:w="780"/>
            <w:tcBorders>
              <w:top w:val="single" w:color="D0D5DD" w:sz="1"/>
              <w:left w:val="single" w:color="D0D5DD" w:sz="1"/>
              <w:bottom w:val="single" w:color="D0D5DD" w:sz="1"/>
              <w:right w:val="single" w:color="D0D5DD" w:sz="1"/>
            </w:tcBorders>
            <w:shd w:fill="F4F6F8" w:val="clear"/>
            <w:tcMar>
              <w:top w:type="dxa" w:w="85"/>
              <w:left w:type="dxa" w:w="120"/>
              <w:bottom w:type="dxa" w:w="85"/>
              <w:right w:type="dxa" w:w="120"/>
            </w:tcMar>
          </w:tcPr>
          <w:p>
            <w:pPr>
              <w:jc w:val="center"/>
            </w:pPr>
            <w:r>
              <w:rPr>
                <w:rFonts w:ascii="Arial" w:cs="Arial" w:eastAsia="Arial" w:hAnsi="Arial"/>
                <w:b w:val="false"/>
                <w:bCs w:val="false"/>
                <w:i w:val="false"/>
                <w:iCs w:val="false"/>
                <w:color w:val="555555"/>
                <w:sz w:val="19"/>
                <w:szCs w:val="19"/>
              </w:rPr>
              <w:t xml:space="preserve">6</w:t>
            </w:r>
          </w:p>
        </w:tc>
        <w:tc>
          <w:tcPr>
            <w:tcW w:type="dxa" w:w="1560"/>
            <w:tcBorders>
              <w:top w:val="single" w:color="D0D5DD" w:sz="1"/>
              <w:left w:val="single" w:color="D0D5DD" w:sz="1"/>
              <w:bottom w:val="single" w:color="D0D5DD" w:sz="1"/>
              <w:right w:val="single" w:color="D0D5DD" w:sz="1"/>
            </w:tcBorders>
            <w:shd w:fill="F4F6F8" w:val="clear"/>
            <w:tcMar>
              <w:top w:type="dxa" w:w="85"/>
              <w:left w:type="dxa" w:w="120"/>
              <w:bottom w:type="dxa" w:w="85"/>
              <w:right w:type="dxa" w:w="120"/>
            </w:tcMar>
          </w:tcPr>
          <w:p>
            <w:pPr>
              <w:jc w:val="center"/>
            </w:pPr>
            <w:r>
              <w:rPr>
                <w:rFonts w:ascii="Arial" w:cs="Arial" w:eastAsia="Arial" w:hAnsi="Arial"/>
                <w:b/>
                <w:bCs/>
                <w:i w:val="false"/>
                <w:iCs w:val="false"/>
                <w:color w:val="1B2A4A"/>
                <w:sz w:val="20"/>
                <w:szCs w:val="20"/>
              </w:rPr>
              <w:t xml:space="preserve">30%</w:t>
            </w:r>
          </w:p>
        </w:tc>
        <w:tc>
          <w:tcPr>
            <w:tcW w:type="dxa" w:w="4680"/>
            <w:tcBorders>
              <w:top w:val="single" w:color="D0D5DD" w:sz="1"/>
              <w:left w:val="single" w:color="D0D5DD" w:sz="1"/>
              <w:bottom w:val="single" w:color="D0D5DD" w:sz="1"/>
              <w:right w:val="single" w:color="D0D5DD" w:sz="1"/>
            </w:tcBorders>
            <w:shd w:fill="F4F6F8" w:val="clear"/>
            <w:tcMar>
              <w:top w:type="dxa" w:w="85"/>
              <w:left w:type="dxa" w:w="120"/>
              <w:bottom w:type="dxa" w:w="85"/>
              <w:right w:type="dxa" w:w="120"/>
            </w:tcMar>
          </w:tcPr>
          <w:p>
            <w:pPr>
              <w:jc w:val="left"/>
            </w:pPr>
            <w:r>
              <w:rPr>
                <w:rFonts w:ascii="Arial" w:cs="Arial" w:eastAsia="Arial" w:hAnsi="Arial"/>
                <w:b w:val="false"/>
                <w:bCs w:val="false"/>
                <w:i w:val="false"/>
                <w:iCs w:val="false"/>
                <w:color w:val="1A5276"/>
                <w:sz w:val="17"/>
                <w:szCs w:val="17"/>
              </w:rPr>
              <w:t xml:space="preserve">███████████░░░░░░░░░░░░░░░░░░░░░░░░░░░  30%</w:t>
            </w:r>
          </w:p>
        </w:tc>
      </w:tr>
      <w:tr>
        <w:tc>
          <w:tcPr>
            <w:tcW w:type="dxa" w:w="234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pPr>
              <w:jc w:val="left"/>
            </w:pPr>
            <w:r>
              <w:rPr>
                <w:rFonts w:ascii="Arial" w:cs="Arial" w:eastAsia="Arial" w:hAnsi="Arial"/>
                <w:b/>
                <w:bCs/>
                <w:i w:val="false"/>
                <w:iCs w:val="false"/>
                <w:color w:val="1A7A6E"/>
                <w:sz w:val="19"/>
                <w:szCs w:val="19"/>
              </w:rPr>
              <w:t xml:space="preserve">Financials</w:t>
            </w:r>
          </w:p>
        </w:tc>
        <w:tc>
          <w:tcPr>
            <w:tcW w:type="dxa" w:w="78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pPr>
              <w:jc w:val="center"/>
            </w:pPr>
            <w:r>
              <w:rPr>
                <w:rFonts w:ascii="Arial" w:cs="Arial" w:eastAsia="Arial" w:hAnsi="Arial"/>
                <w:b w:val="false"/>
                <w:bCs w:val="false"/>
                <w:i w:val="false"/>
                <w:iCs w:val="false"/>
                <w:color w:val="555555"/>
                <w:sz w:val="19"/>
                <w:szCs w:val="19"/>
              </w:rPr>
              <w:t xml:space="preserve">6</w:t>
            </w:r>
          </w:p>
        </w:tc>
        <w:tc>
          <w:tcPr>
            <w:tcW w:type="dxa" w:w="156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pPr>
              <w:jc w:val="center"/>
            </w:pPr>
            <w:r>
              <w:rPr>
                <w:rFonts w:ascii="Arial" w:cs="Arial" w:eastAsia="Arial" w:hAnsi="Arial"/>
                <w:b/>
                <w:bCs/>
                <w:i w:val="false"/>
                <w:iCs w:val="false"/>
                <w:color w:val="1B2A4A"/>
                <w:sz w:val="20"/>
                <w:szCs w:val="20"/>
              </w:rPr>
              <w:t xml:space="preserve">25%</w:t>
            </w:r>
          </w:p>
        </w:tc>
        <w:tc>
          <w:tcPr>
            <w:tcW w:type="dxa" w:w="468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pPr>
              <w:jc w:val="left"/>
            </w:pPr>
            <w:r>
              <w:rPr>
                <w:rFonts w:ascii="Arial" w:cs="Arial" w:eastAsia="Arial" w:hAnsi="Arial"/>
                <w:b w:val="false"/>
                <w:bCs w:val="false"/>
                <w:i w:val="false"/>
                <w:iCs w:val="false"/>
                <w:color w:val="1A7A6E"/>
                <w:sz w:val="17"/>
                <w:szCs w:val="17"/>
              </w:rPr>
              <w:t xml:space="preserve">██████████░░░░░░░░░░░░░░░░░░░░░░░░░░░░  25%</w:t>
            </w:r>
          </w:p>
        </w:tc>
      </w:tr>
      <w:tr>
        <w:tc>
          <w:tcPr>
            <w:tcW w:type="dxa" w:w="2340"/>
            <w:tcBorders>
              <w:top w:val="single" w:color="D0D5DD" w:sz="1"/>
              <w:left w:val="single" w:color="D0D5DD" w:sz="1"/>
              <w:bottom w:val="single" w:color="D0D5DD" w:sz="1"/>
              <w:right w:val="single" w:color="D0D5DD" w:sz="1"/>
            </w:tcBorders>
            <w:shd w:fill="F4F6F8" w:val="clear"/>
            <w:tcMar>
              <w:top w:type="dxa" w:w="85"/>
              <w:left w:type="dxa" w:w="120"/>
              <w:bottom w:type="dxa" w:w="85"/>
              <w:right w:type="dxa" w:w="120"/>
            </w:tcMar>
          </w:tcPr>
          <w:p>
            <w:pPr>
              <w:jc w:val="left"/>
            </w:pPr>
            <w:r>
              <w:rPr>
                <w:rFonts w:ascii="Arial" w:cs="Arial" w:eastAsia="Arial" w:hAnsi="Arial"/>
                <w:b/>
                <w:bCs/>
                <w:i w:val="false"/>
                <w:iCs w:val="false"/>
                <w:color w:val="1E6B3C"/>
                <w:sz w:val="19"/>
                <w:szCs w:val="19"/>
              </w:rPr>
              <w:t xml:space="preserve">Healthcare</w:t>
            </w:r>
          </w:p>
        </w:tc>
        <w:tc>
          <w:tcPr>
            <w:tcW w:type="dxa" w:w="780"/>
            <w:tcBorders>
              <w:top w:val="single" w:color="D0D5DD" w:sz="1"/>
              <w:left w:val="single" w:color="D0D5DD" w:sz="1"/>
              <w:bottom w:val="single" w:color="D0D5DD" w:sz="1"/>
              <w:right w:val="single" w:color="D0D5DD" w:sz="1"/>
            </w:tcBorders>
            <w:shd w:fill="F4F6F8" w:val="clear"/>
            <w:tcMar>
              <w:top w:type="dxa" w:w="85"/>
              <w:left w:type="dxa" w:w="120"/>
              <w:bottom w:type="dxa" w:w="85"/>
              <w:right w:type="dxa" w:w="120"/>
            </w:tcMar>
          </w:tcPr>
          <w:p>
            <w:pPr>
              <w:jc w:val="center"/>
            </w:pPr>
            <w:r>
              <w:rPr>
                <w:rFonts w:ascii="Arial" w:cs="Arial" w:eastAsia="Arial" w:hAnsi="Arial"/>
                <w:b w:val="false"/>
                <w:bCs w:val="false"/>
                <w:i w:val="false"/>
                <w:iCs w:val="false"/>
                <w:color w:val="555555"/>
                <w:sz w:val="19"/>
                <w:szCs w:val="19"/>
              </w:rPr>
              <w:t xml:space="preserve">5</w:t>
            </w:r>
          </w:p>
        </w:tc>
        <w:tc>
          <w:tcPr>
            <w:tcW w:type="dxa" w:w="1560"/>
            <w:tcBorders>
              <w:top w:val="single" w:color="D0D5DD" w:sz="1"/>
              <w:left w:val="single" w:color="D0D5DD" w:sz="1"/>
              <w:bottom w:val="single" w:color="D0D5DD" w:sz="1"/>
              <w:right w:val="single" w:color="D0D5DD" w:sz="1"/>
            </w:tcBorders>
            <w:shd w:fill="F4F6F8" w:val="clear"/>
            <w:tcMar>
              <w:top w:type="dxa" w:w="85"/>
              <w:left w:type="dxa" w:w="120"/>
              <w:bottom w:type="dxa" w:w="85"/>
              <w:right w:type="dxa" w:w="120"/>
            </w:tcMar>
          </w:tcPr>
          <w:p>
            <w:pPr>
              <w:jc w:val="center"/>
            </w:pPr>
            <w:r>
              <w:rPr>
                <w:rFonts w:ascii="Arial" w:cs="Arial" w:eastAsia="Arial" w:hAnsi="Arial"/>
                <w:b/>
                <w:bCs/>
                <w:i w:val="false"/>
                <w:iCs w:val="false"/>
                <w:color w:val="1B2A4A"/>
                <w:sz w:val="20"/>
                <w:szCs w:val="20"/>
              </w:rPr>
              <w:t xml:space="preserve">20%</w:t>
            </w:r>
          </w:p>
        </w:tc>
        <w:tc>
          <w:tcPr>
            <w:tcW w:type="dxa" w:w="4680"/>
            <w:tcBorders>
              <w:top w:val="single" w:color="D0D5DD" w:sz="1"/>
              <w:left w:val="single" w:color="D0D5DD" w:sz="1"/>
              <w:bottom w:val="single" w:color="D0D5DD" w:sz="1"/>
              <w:right w:val="single" w:color="D0D5DD" w:sz="1"/>
            </w:tcBorders>
            <w:shd w:fill="F4F6F8" w:val="clear"/>
            <w:tcMar>
              <w:top w:type="dxa" w:w="85"/>
              <w:left w:type="dxa" w:w="120"/>
              <w:bottom w:type="dxa" w:w="85"/>
              <w:right w:type="dxa" w:w="120"/>
            </w:tcMar>
          </w:tcPr>
          <w:p>
            <w:pPr>
              <w:jc w:val="left"/>
            </w:pPr>
            <w:r>
              <w:rPr>
                <w:rFonts w:ascii="Arial" w:cs="Arial" w:eastAsia="Arial" w:hAnsi="Arial"/>
                <w:b w:val="false"/>
                <w:bCs w:val="false"/>
                <w:i w:val="false"/>
                <w:iCs w:val="false"/>
                <w:color w:val="1E6B3C"/>
                <w:sz w:val="17"/>
                <w:szCs w:val="17"/>
              </w:rPr>
              <w:t xml:space="preserve">████████░░░░░░░░░░░░░░░░░░░░░░░░░░░░░░  20%</w:t>
            </w:r>
          </w:p>
        </w:tc>
      </w:tr>
      <w:tr>
        <w:tc>
          <w:tcPr>
            <w:tcW w:type="dxa" w:w="234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pPr>
              <w:jc w:val="left"/>
            </w:pPr>
            <w:r>
              <w:rPr>
                <w:rFonts w:ascii="Arial" w:cs="Arial" w:eastAsia="Arial" w:hAnsi="Arial"/>
                <w:b/>
                <w:bCs/>
                <w:i w:val="false"/>
                <w:iCs w:val="false"/>
                <w:color w:val="C8861A"/>
                <w:sz w:val="19"/>
                <w:szCs w:val="19"/>
              </w:rPr>
              <w:t xml:space="preserve">Energy</w:t>
            </w:r>
          </w:p>
        </w:tc>
        <w:tc>
          <w:tcPr>
            <w:tcW w:type="dxa" w:w="78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pPr>
              <w:jc w:val="center"/>
            </w:pPr>
            <w:r>
              <w:rPr>
                <w:rFonts w:ascii="Arial" w:cs="Arial" w:eastAsia="Arial" w:hAnsi="Arial"/>
                <w:b w:val="false"/>
                <w:bCs w:val="false"/>
                <w:i w:val="false"/>
                <w:iCs w:val="false"/>
                <w:color w:val="555555"/>
                <w:sz w:val="19"/>
                <w:szCs w:val="19"/>
              </w:rPr>
              <w:t xml:space="preserve">4</w:t>
            </w:r>
          </w:p>
        </w:tc>
        <w:tc>
          <w:tcPr>
            <w:tcW w:type="dxa" w:w="156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pPr>
              <w:jc w:val="center"/>
            </w:pPr>
            <w:r>
              <w:rPr>
                <w:rFonts w:ascii="Arial" w:cs="Arial" w:eastAsia="Arial" w:hAnsi="Arial"/>
                <w:b/>
                <w:bCs/>
                <w:i w:val="false"/>
                <w:iCs w:val="false"/>
                <w:color w:val="1B2A4A"/>
                <w:sz w:val="20"/>
                <w:szCs w:val="20"/>
              </w:rPr>
              <w:t xml:space="preserve">15%</w:t>
            </w:r>
          </w:p>
        </w:tc>
        <w:tc>
          <w:tcPr>
            <w:tcW w:type="dxa" w:w="468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pPr>
              <w:jc w:val="left"/>
            </w:pPr>
            <w:r>
              <w:rPr>
                <w:rFonts w:ascii="Arial" w:cs="Arial" w:eastAsia="Arial" w:hAnsi="Arial"/>
                <w:b w:val="false"/>
                <w:bCs w:val="false"/>
                <w:i w:val="false"/>
                <w:iCs w:val="false"/>
                <w:color w:val="C8861A"/>
                <w:sz w:val="17"/>
                <w:szCs w:val="17"/>
              </w:rPr>
              <w:t xml:space="preserve">██████░░░░░░░░░░░░░░░░░░░░░░░░░░░░░░░░  15%</w:t>
            </w:r>
          </w:p>
        </w:tc>
      </w:tr>
      <w:tr>
        <w:tc>
          <w:tcPr>
            <w:tcW w:type="dxa" w:w="2340"/>
            <w:tcBorders>
              <w:top w:val="single" w:color="D0D5DD" w:sz="1"/>
              <w:left w:val="single" w:color="D0D5DD" w:sz="1"/>
              <w:bottom w:val="single" w:color="D0D5DD" w:sz="1"/>
              <w:right w:val="single" w:color="D0D5DD" w:sz="1"/>
            </w:tcBorders>
            <w:shd w:fill="F4F6F8" w:val="clear"/>
            <w:tcMar>
              <w:top w:type="dxa" w:w="85"/>
              <w:left w:type="dxa" w:w="120"/>
              <w:bottom w:type="dxa" w:w="85"/>
              <w:right w:type="dxa" w:w="120"/>
            </w:tcMar>
          </w:tcPr>
          <w:p>
            <w:pPr>
              <w:jc w:val="left"/>
            </w:pPr>
            <w:r>
              <w:rPr>
                <w:rFonts w:ascii="Arial" w:cs="Arial" w:eastAsia="Arial" w:hAnsi="Arial"/>
                <w:b/>
                <w:bCs/>
                <w:i w:val="false"/>
                <w:iCs w:val="false"/>
                <w:color w:val="5B3FA0"/>
                <w:sz w:val="19"/>
                <w:szCs w:val="19"/>
              </w:rPr>
              <w:t xml:space="preserve">Industrials</w:t>
            </w:r>
          </w:p>
        </w:tc>
        <w:tc>
          <w:tcPr>
            <w:tcW w:type="dxa" w:w="780"/>
            <w:tcBorders>
              <w:top w:val="single" w:color="D0D5DD" w:sz="1"/>
              <w:left w:val="single" w:color="D0D5DD" w:sz="1"/>
              <w:bottom w:val="single" w:color="D0D5DD" w:sz="1"/>
              <w:right w:val="single" w:color="D0D5DD" w:sz="1"/>
            </w:tcBorders>
            <w:shd w:fill="F4F6F8" w:val="clear"/>
            <w:tcMar>
              <w:top w:type="dxa" w:w="85"/>
              <w:left w:type="dxa" w:w="120"/>
              <w:bottom w:type="dxa" w:w="85"/>
              <w:right w:type="dxa" w:w="120"/>
            </w:tcMar>
          </w:tcPr>
          <w:p>
            <w:pPr>
              <w:jc w:val="center"/>
            </w:pPr>
            <w:r>
              <w:rPr>
                <w:rFonts w:ascii="Arial" w:cs="Arial" w:eastAsia="Arial" w:hAnsi="Arial"/>
                <w:b w:val="false"/>
                <w:bCs w:val="false"/>
                <w:i w:val="false"/>
                <w:iCs w:val="false"/>
                <w:color w:val="555555"/>
                <w:sz w:val="19"/>
                <w:szCs w:val="19"/>
              </w:rPr>
              <w:t xml:space="preserve">4</w:t>
            </w:r>
          </w:p>
        </w:tc>
        <w:tc>
          <w:tcPr>
            <w:tcW w:type="dxa" w:w="1560"/>
            <w:tcBorders>
              <w:top w:val="single" w:color="D0D5DD" w:sz="1"/>
              <w:left w:val="single" w:color="D0D5DD" w:sz="1"/>
              <w:bottom w:val="single" w:color="D0D5DD" w:sz="1"/>
              <w:right w:val="single" w:color="D0D5DD" w:sz="1"/>
            </w:tcBorders>
            <w:shd w:fill="F4F6F8" w:val="clear"/>
            <w:tcMar>
              <w:top w:type="dxa" w:w="85"/>
              <w:left w:type="dxa" w:w="120"/>
              <w:bottom w:type="dxa" w:w="85"/>
              <w:right w:type="dxa" w:w="120"/>
            </w:tcMar>
          </w:tcPr>
          <w:p>
            <w:pPr>
              <w:jc w:val="center"/>
            </w:pPr>
            <w:r>
              <w:rPr>
                <w:rFonts w:ascii="Arial" w:cs="Arial" w:eastAsia="Arial" w:hAnsi="Arial"/>
                <w:b/>
                <w:bCs/>
                <w:i w:val="false"/>
                <w:iCs w:val="false"/>
                <w:color w:val="1B2A4A"/>
                <w:sz w:val="20"/>
                <w:szCs w:val="20"/>
              </w:rPr>
              <w:t xml:space="preserve">10%</w:t>
            </w:r>
          </w:p>
        </w:tc>
        <w:tc>
          <w:tcPr>
            <w:tcW w:type="dxa" w:w="4680"/>
            <w:tcBorders>
              <w:top w:val="single" w:color="D0D5DD" w:sz="1"/>
              <w:left w:val="single" w:color="D0D5DD" w:sz="1"/>
              <w:bottom w:val="single" w:color="D0D5DD" w:sz="1"/>
              <w:right w:val="single" w:color="D0D5DD" w:sz="1"/>
            </w:tcBorders>
            <w:shd w:fill="F4F6F8" w:val="clear"/>
            <w:tcMar>
              <w:top w:type="dxa" w:w="85"/>
              <w:left w:type="dxa" w:w="120"/>
              <w:bottom w:type="dxa" w:w="85"/>
              <w:right w:type="dxa" w:w="120"/>
            </w:tcMar>
          </w:tcPr>
          <w:p>
            <w:pPr>
              <w:jc w:val="left"/>
            </w:pPr>
            <w:r>
              <w:rPr>
                <w:rFonts w:ascii="Arial" w:cs="Arial" w:eastAsia="Arial" w:hAnsi="Arial"/>
                <w:b w:val="false"/>
                <w:bCs w:val="false"/>
                <w:i w:val="false"/>
                <w:iCs w:val="false"/>
                <w:color w:val="5B3FA0"/>
                <w:sz w:val="17"/>
                <w:szCs w:val="17"/>
              </w:rPr>
              <w:t xml:space="preserve">████░░░░░░░░░░░░░░░░░░░░░░░░░░░░░░░░░░  10%</w:t>
            </w:r>
          </w:p>
        </w:tc>
      </w:tr>
      <w:tr>
        <w:tc>
          <w:tcPr>
            <w:tcW w:type="dxa" w:w="2340"/>
            <w:tcBorders>
              <w:top w:val="single" w:color="D0D5DD" w:sz="1"/>
              <w:left w:val="single" w:color="D0D5DD" w:sz="1"/>
              <w:bottom w:val="single" w:color="D0D5DD" w:sz="1"/>
              <w:right w:val="single" w:color="D0D5DD" w:sz="1"/>
            </w:tcBorders>
            <w:shd w:fill="1B2A4A" w:val="clear"/>
            <w:tcMar>
              <w:top w:type="dxa" w:w="85"/>
              <w:left w:type="dxa" w:w="120"/>
              <w:bottom w:type="dxa" w:w="85"/>
              <w:right w:type="dxa" w:w="120"/>
            </w:tcMar>
          </w:tcPr>
          <w:p>
            <w:pPr>
              <w:jc w:val="left"/>
            </w:pPr>
            <w:r>
              <w:rPr>
                <w:rFonts w:ascii="Arial" w:cs="Arial" w:eastAsia="Arial" w:hAnsi="Arial"/>
                <w:b/>
                <w:bCs/>
                <w:i w:val="false"/>
                <w:iCs w:val="false"/>
                <w:color w:val="FFFFFF"/>
                <w:sz w:val="19"/>
                <w:szCs w:val="19"/>
              </w:rPr>
              <w:t xml:space="preserve">TOTAL</w:t>
            </w:r>
          </w:p>
        </w:tc>
        <w:tc>
          <w:tcPr>
            <w:tcW w:type="dxa" w:w="780"/>
            <w:tcBorders>
              <w:top w:val="single" w:color="D0D5DD" w:sz="1"/>
              <w:left w:val="single" w:color="D0D5DD" w:sz="1"/>
              <w:bottom w:val="single" w:color="D0D5DD" w:sz="1"/>
              <w:right w:val="single" w:color="D0D5DD" w:sz="1"/>
            </w:tcBorders>
            <w:shd w:fill="1B2A4A" w:val="clear"/>
            <w:tcMar>
              <w:top w:type="dxa" w:w="85"/>
              <w:left w:type="dxa" w:w="120"/>
              <w:bottom w:type="dxa" w:w="85"/>
              <w:right w:type="dxa" w:w="120"/>
            </w:tcMar>
          </w:tcPr>
          <w:p>
            <w:pPr>
              <w:jc w:val="center"/>
            </w:pPr>
            <w:r>
              <w:rPr>
                <w:rFonts w:ascii="Arial" w:cs="Arial" w:eastAsia="Arial" w:hAnsi="Arial"/>
                <w:b/>
                <w:bCs/>
                <w:i w:val="false"/>
                <w:iCs w:val="false"/>
                <w:color w:val="FFFFFF"/>
                <w:sz w:val="19"/>
                <w:szCs w:val="19"/>
              </w:rPr>
              <w:t xml:space="preserve">25</w:t>
            </w:r>
          </w:p>
        </w:tc>
        <w:tc>
          <w:tcPr>
            <w:tcW w:type="dxa" w:w="1560"/>
            <w:tcBorders>
              <w:top w:val="single" w:color="D0D5DD" w:sz="1"/>
              <w:left w:val="single" w:color="D0D5DD" w:sz="1"/>
              <w:bottom w:val="single" w:color="D0D5DD" w:sz="1"/>
              <w:right w:val="single" w:color="D0D5DD" w:sz="1"/>
            </w:tcBorders>
            <w:shd w:fill="1B2A4A" w:val="clear"/>
            <w:tcMar>
              <w:top w:type="dxa" w:w="85"/>
              <w:left w:type="dxa" w:w="120"/>
              <w:bottom w:type="dxa" w:w="85"/>
              <w:right w:type="dxa" w:w="120"/>
            </w:tcMar>
          </w:tcPr>
          <w:p>
            <w:pPr>
              <w:jc w:val="center"/>
            </w:pPr>
            <w:r>
              <w:rPr>
                <w:rFonts w:ascii="Arial" w:cs="Arial" w:eastAsia="Arial" w:hAnsi="Arial"/>
                <w:b/>
                <w:bCs/>
                <w:i w:val="false"/>
                <w:iCs w:val="false"/>
                <w:color w:val="FFFFFF"/>
                <w:sz w:val="20"/>
                <w:szCs w:val="20"/>
              </w:rPr>
              <w:t xml:space="preserve">100%</w:t>
            </w:r>
          </w:p>
        </w:tc>
        <w:tc>
          <w:tcPr>
            <w:tcW w:type="dxa" w:w="4680"/>
            <w:tcBorders>
              <w:top w:val="single" w:color="D0D5DD" w:sz="1"/>
              <w:left w:val="single" w:color="D0D5DD" w:sz="1"/>
              <w:bottom w:val="single" w:color="D0D5DD" w:sz="1"/>
              <w:right w:val="single" w:color="D0D5DD" w:sz="1"/>
            </w:tcBorders>
            <w:shd w:fill="1B2A4A" w:val="clear"/>
            <w:tcMar>
              <w:top w:type="dxa" w:w="85"/>
              <w:left w:type="dxa" w:w="120"/>
              <w:bottom w:type="dxa" w:w="85"/>
              <w:right w:type="dxa" w:w="120"/>
            </w:tcMar>
          </w:tcPr>
          <w:p>
            <w:pPr>
              <w:jc w:val="left"/>
            </w:pPr>
            <w:r>
              <w:rPr>
                <w:rFonts w:ascii="Arial" w:cs="Arial" w:eastAsia="Arial" w:hAnsi="Arial"/>
                <w:b w:val="false"/>
                <w:bCs w:val="false"/>
                <w:i/>
                <w:iCs/>
                <w:color w:val="A8C4E0"/>
                <w:sz w:val="18"/>
                <w:szCs w:val="18"/>
              </w:rPr>
              <w:t xml:space="preserve">Weights verified — sum = 100%</w:t>
            </w:r>
          </w:p>
        </w:tc>
      </w:tr>
    </w:tbl>
    <w:p>
      <w:pPr>
        <w:spacing w:after="0" w:before="140"/>
      </w:pPr>
    </w:p>
    <w:p>
      <w:pPr>
        <w:spacing w:after="0" w:before="200"/>
      </w:pPr>
    </w:p>
    <w:p>
      <w:pPr>
        <w:spacing w:after="60" w:before="0"/>
      </w:pPr>
      <w:r>
        <w:rPr>
          <w:rFonts w:ascii="Arial" w:cs="Arial" w:eastAsia="Arial" w:hAnsi="Arial"/>
          <w:b/>
          <w:bCs/>
          <w:color w:val="C8861A"/>
          <w:sz w:val="27"/>
          <w:szCs w:val="27"/>
        </w:rPr>
        <w:t xml:space="preserve">03  </w:t>
      </w:r>
      <w:r>
        <w:rPr>
          <w:rFonts w:ascii="Arial" w:cs="Arial" w:eastAsia="Arial" w:hAnsi="Arial"/>
          <w:b/>
          <w:bCs/>
          <w:color w:val="1B2A4A"/>
          <w:sz w:val="27"/>
          <w:szCs w:val="27"/>
        </w:rPr>
        <w:t xml:space="preserve">Weight Distribution by Band</w:t>
      </w:r>
    </w:p>
    <w:p>
      <w:pPr>
        <w:pBdr>
          <w:bottom w:val="single" w:color="2E5FA3" w:sz="8" w:space="1"/>
        </w:pBdr>
        <w:spacing w:after="120" w:before="0"/>
      </w:pPr>
    </w:p>
    <w:p>
      <w:pPr>
        <w:spacing w:after="0" w:before="80"/>
      </w:pPr>
    </w:p>
    <w:p>
      <w:r>
        <w:rPr>
          <w:rFonts w:ascii="Arial" w:cs="Arial" w:eastAsia="Arial" w:hAnsi="Arial"/>
          <w:color w:val="0A0A0A"/>
          <w:sz w:val="20"/>
          <w:szCs w:val="20"/>
        </w:rPr>
        <w:t xml:space="preserve">The 25 positions span five weight bands. No single stock exceeds 6% — well inside the 10% overweight alert threshold defined in Step 1. The two smallest positions (HON, RTX) at 2% each still provide real economic exposure without inflating concentration risk.</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4680"/>
        <w:gridCol w:w="3120"/>
      </w:tblGrid>
      <w:tr>
        <w:tc>
          <w:tcPr>
            <w:tcW w:type="dxa" w:w="1560"/>
            <w:tcBorders>
              <w:top w:val="single" w:color="D0D5DD" w:sz="1"/>
              <w:left w:val="single" w:color="D0D5DD" w:sz="1"/>
              <w:bottom w:val="single" w:color="D0D5DD" w:sz="1"/>
              <w:right w:val="single" w:color="D0D5DD" w:sz="1"/>
            </w:tcBorders>
            <w:shd w:fill="1B2A4A" w:val="clear"/>
            <w:tcMar>
              <w:top w:type="dxa" w:w="85"/>
              <w:left w:type="dxa" w:w="120"/>
              <w:bottom w:type="dxa" w:w="85"/>
              <w:right w:type="dxa" w:w="120"/>
            </w:tcMar>
          </w:tcPr>
          <w:p>
            <w:pPr>
              <w:jc w:val="left"/>
            </w:pPr>
            <w:r>
              <w:rPr>
                <w:rFonts w:ascii="Arial" w:cs="Arial" w:eastAsia="Arial" w:hAnsi="Arial"/>
                <w:b/>
                <w:bCs/>
                <w:i w:val="false"/>
                <w:iCs w:val="false"/>
                <w:color w:val="FFFFFF"/>
                <w:sz w:val="18"/>
                <w:szCs w:val="18"/>
              </w:rPr>
              <w:t xml:space="preserve">Weight</w:t>
            </w:r>
          </w:p>
        </w:tc>
        <w:tc>
          <w:tcPr>
            <w:tcW w:type="dxa" w:w="4680"/>
            <w:tcBorders>
              <w:top w:val="single" w:color="D0D5DD" w:sz="1"/>
              <w:left w:val="single" w:color="D0D5DD" w:sz="1"/>
              <w:bottom w:val="single" w:color="D0D5DD" w:sz="1"/>
              <w:right w:val="single" w:color="D0D5DD" w:sz="1"/>
            </w:tcBorders>
            <w:shd w:fill="1B2A4A" w:val="clear"/>
            <w:tcMar>
              <w:top w:type="dxa" w:w="85"/>
              <w:left w:type="dxa" w:w="120"/>
              <w:bottom w:type="dxa" w:w="85"/>
              <w:right w:type="dxa" w:w="120"/>
            </w:tcMar>
          </w:tcPr>
          <w:p>
            <w:pPr>
              <w:jc w:val="left"/>
            </w:pPr>
            <w:r>
              <w:rPr>
                <w:rFonts w:ascii="Arial" w:cs="Arial" w:eastAsia="Arial" w:hAnsi="Arial"/>
                <w:b/>
                <w:bCs/>
                <w:i w:val="false"/>
                <w:iCs w:val="false"/>
                <w:color w:val="FFFFFF"/>
                <w:sz w:val="18"/>
                <w:szCs w:val="18"/>
              </w:rPr>
              <w:t xml:space="preserve">Tickers</w:t>
            </w:r>
          </w:p>
        </w:tc>
        <w:tc>
          <w:tcPr>
            <w:tcW w:type="dxa" w:w="3120"/>
            <w:tcBorders>
              <w:top w:val="single" w:color="D0D5DD" w:sz="1"/>
              <w:left w:val="single" w:color="D0D5DD" w:sz="1"/>
              <w:bottom w:val="single" w:color="D0D5DD" w:sz="1"/>
              <w:right w:val="single" w:color="D0D5DD" w:sz="1"/>
            </w:tcBorders>
            <w:shd w:fill="1B2A4A" w:val="clear"/>
            <w:tcMar>
              <w:top w:type="dxa" w:w="85"/>
              <w:left w:type="dxa" w:w="120"/>
              <w:bottom w:type="dxa" w:w="85"/>
              <w:right w:type="dxa" w:w="120"/>
            </w:tcMar>
          </w:tcPr>
          <w:p>
            <w:pPr>
              <w:jc w:val="left"/>
            </w:pPr>
            <w:r>
              <w:rPr>
                <w:rFonts w:ascii="Arial" w:cs="Arial" w:eastAsia="Arial" w:hAnsi="Arial"/>
                <w:b/>
                <w:bCs/>
                <w:i w:val="false"/>
                <w:iCs w:val="false"/>
                <w:color w:val="FFFFFF"/>
                <w:sz w:val="18"/>
                <w:szCs w:val="18"/>
              </w:rPr>
              <w:t xml:space="preserve">Position Logic</w:t>
            </w:r>
          </w:p>
        </w:tc>
      </w:tr>
      <w:tr>
        <w:tc>
          <w:tcPr>
            <w:tcW w:type="dxa" w:w="1560"/>
            <w:tcBorders>
              <w:top w:val="single" w:color="D0D5DD" w:sz="1"/>
              <w:left w:val="single" w:color="D0D5DD" w:sz="1"/>
              <w:bottom w:val="single" w:color="D0D5DD" w:sz="1"/>
              <w:right w:val="single" w:color="D0D5DD" w:sz="1"/>
            </w:tcBorders>
            <w:shd w:fill="F4F6F8" w:val="clear"/>
            <w:tcMar>
              <w:top w:type="dxa" w:w="85"/>
              <w:left w:type="dxa" w:w="120"/>
              <w:bottom w:type="dxa" w:w="85"/>
              <w:right w:type="dxa" w:w="120"/>
            </w:tcMar>
          </w:tcPr>
          <w:p>
            <w:pPr>
              <w:jc w:val="left"/>
            </w:pPr>
            <w:r>
              <w:rPr>
                <w:rFonts w:ascii="Arial" w:cs="Arial" w:eastAsia="Arial" w:hAnsi="Arial"/>
                <w:b/>
                <w:bCs/>
                <w:i w:val="false"/>
                <w:iCs w:val="false"/>
                <w:color w:val="1B2A4A"/>
                <w:sz w:val="18"/>
                <w:szCs w:val="18"/>
              </w:rPr>
              <w:t xml:space="preserve">6% (Largest)</w:t>
            </w:r>
          </w:p>
        </w:tc>
        <w:tc>
          <w:tcPr>
            <w:tcW w:type="dxa" w:w="4680"/>
            <w:tcBorders>
              <w:top w:val="single" w:color="D0D5DD" w:sz="1"/>
              <w:left w:val="single" w:color="D0D5DD" w:sz="1"/>
              <w:bottom w:val="single" w:color="D0D5DD" w:sz="1"/>
              <w:right w:val="single" w:color="D0D5DD" w:sz="1"/>
            </w:tcBorders>
            <w:shd w:fill="F4F6F8" w:val="clear"/>
            <w:tcMar>
              <w:top w:type="dxa" w:w="85"/>
              <w:left w:type="dxa" w:w="120"/>
              <w:bottom w:type="dxa" w:w="85"/>
              <w:right w:type="dxa" w:w="120"/>
            </w:tcMar>
          </w:tcPr>
          <w:p>
            <w:pPr>
              <w:jc w:val="left"/>
            </w:pPr>
            <w:r>
              <w:rPr>
                <w:rFonts w:ascii="Arial" w:cs="Arial" w:eastAsia="Arial" w:hAnsi="Arial"/>
                <w:b/>
                <w:bCs/>
                <w:i w:val="false"/>
                <w:iCs w:val="false"/>
                <w:color w:val="1A7A6E"/>
                <w:sz w:val="18"/>
                <w:szCs w:val="18"/>
              </w:rPr>
              <w:t xml:space="preserve">AAPL   MSFT</w:t>
            </w:r>
          </w:p>
        </w:tc>
        <w:tc>
          <w:tcPr>
            <w:tcW w:type="dxa" w:w="3120"/>
            <w:tcBorders>
              <w:top w:val="single" w:color="D0D5DD" w:sz="1"/>
              <w:left w:val="single" w:color="D0D5DD" w:sz="1"/>
              <w:bottom w:val="single" w:color="D0D5DD" w:sz="1"/>
              <w:right w:val="single" w:color="D0D5DD" w:sz="1"/>
            </w:tcBorders>
            <w:shd w:fill="F4F6F8" w:val="clear"/>
            <w:tcMar>
              <w:top w:type="dxa" w:w="85"/>
              <w:left w:type="dxa" w:w="120"/>
              <w:bottom w:type="dxa" w:w="85"/>
              <w:right w:type="dxa" w:w="120"/>
            </w:tcMar>
          </w:tcPr>
          <w:p>
            <w:pPr>
              <w:jc w:val="left"/>
            </w:pPr>
            <w:r>
              <w:rPr>
                <w:rFonts w:ascii="Arial" w:cs="Arial" w:eastAsia="Arial" w:hAnsi="Arial"/>
                <w:b w:val="false"/>
                <w:bCs w:val="false"/>
                <w:i w:val="false"/>
                <w:iCs w:val="false"/>
                <w:color w:val="555555"/>
                <w:sz w:val="17"/>
                <w:szCs w:val="17"/>
              </w:rPr>
              <w:t xml:space="preserve">Mega-cap anchors — largest market caps, highest liquidity</w:t>
            </w:r>
          </w:p>
        </w:tc>
      </w:tr>
      <w:tr>
        <w:tc>
          <w:tcPr>
            <w:tcW w:type="dxa" w:w="156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pPr>
              <w:jc w:val="left"/>
            </w:pPr>
            <w:r>
              <w:rPr>
                <w:rFonts w:ascii="Arial" w:cs="Arial" w:eastAsia="Arial" w:hAnsi="Arial"/>
                <w:b/>
                <w:bCs/>
                <w:i w:val="false"/>
                <w:iCs w:val="false"/>
                <w:color w:val="1B2A4A"/>
                <w:sz w:val="18"/>
                <w:szCs w:val="18"/>
              </w:rPr>
              <w:t xml:space="preserve">5%</w:t>
            </w:r>
          </w:p>
        </w:tc>
        <w:tc>
          <w:tcPr>
            <w:tcW w:type="dxa" w:w="468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pPr>
              <w:jc w:val="left"/>
            </w:pPr>
            <w:r>
              <w:rPr>
                <w:rFonts w:ascii="Arial" w:cs="Arial" w:eastAsia="Arial" w:hAnsi="Arial"/>
                <w:b/>
                <w:bCs/>
                <w:i w:val="false"/>
                <w:iCs w:val="false"/>
                <w:color w:val="1A7A6E"/>
                <w:sz w:val="18"/>
                <w:szCs w:val="18"/>
              </w:rPr>
              <w:t xml:space="preserve">NVDA   GOOGL   JPM   RY   UNH   LLY   XOM</w:t>
            </w:r>
          </w:p>
        </w:tc>
        <w:tc>
          <w:tcPr>
            <w:tcW w:type="dxa" w:w="312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pPr>
              <w:jc w:val="left"/>
            </w:pPr>
            <w:r>
              <w:rPr>
                <w:rFonts w:ascii="Arial" w:cs="Arial" w:eastAsia="Arial" w:hAnsi="Arial"/>
                <w:b w:val="false"/>
                <w:bCs w:val="false"/>
                <w:i w:val="false"/>
                <w:iCs w:val="false"/>
                <w:color w:val="555555"/>
                <w:sz w:val="17"/>
                <w:szCs w:val="17"/>
              </w:rPr>
              <w:t xml:space="preserve">Core holdings — sector leaders with strong fundamentals</w:t>
            </w:r>
          </w:p>
        </w:tc>
      </w:tr>
      <w:tr>
        <w:tc>
          <w:tcPr>
            <w:tcW w:type="dxa" w:w="1560"/>
            <w:tcBorders>
              <w:top w:val="single" w:color="D0D5DD" w:sz="1"/>
              <w:left w:val="single" w:color="D0D5DD" w:sz="1"/>
              <w:bottom w:val="single" w:color="D0D5DD" w:sz="1"/>
              <w:right w:val="single" w:color="D0D5DD" w:sz="1"/>
            </w:tcBorders>
            <w:shd w:fill="F4F6F8" w:val="clear"/>
            <w:tcMar>
              <w:top w:type="dxa" w:w="85"/>
              <w:left w:type="dxa" w:w="120"/>
              <w:bottom w:type="dxa" w:w="85"/>
              <w:right w:type="dxa" w:w="120"/>
            </w:tcMar>
          </w:tcPr>
          <w:p>
            <w:pPr>
              <w:jc w:val="left"/>
            </w:pPr>
            <w:r>
              <w:rPr>
                <w:rFonts w:ascii="Arial" w:cs="Arial" w:eastAsia="Arial" w:hAnsi="Arial"/>
                <w:b/>
                <w:bCs/>
                <w:i w:val="false"/>
                <w:iCs w:val="false"/>
                <w:color w:val="1B2A4A"/>
                <w:sz w:val="18"/>
                <w:szCs w:val="18"/>
              </w:rPr>
              <w:t xml:space="preserve">4%</w:t>
            </w:r>
          </w:p>
        </w:tc>
        <w:tc>
          <w:tcPr>
            <w:tcW w:type="dxa" w:w="4680"/>
            <w:tcBorders>
              <w:top w:val="single" w:color="D0D5DD" w:sz="1"/>
              <w:left w:val="single" w:color="D0D5DD" w:sz="1"/>
              <w:bottom w:val="single" w:color="D0D5DD" w:sz="1"/>
              <w:right w:val="single" w:color="D0D5DD" w:sz="1"/>
            </w:tcBorders>
            <w:shd w:fill="F4F6F8" w:val="clear"/>
            <w:tcMar>
              <w:top w:type="dxa" w:w="85"/>
              <w:left w:type="dxa" w:w="120"/>
              <w:bottom w:type="dxa" w:w="85"/>
              <w:right w:type="dxa" w:w="120"/>
            </w:tcMar>
          </w:tcPr>
          <w:p>
            <w:pPr>
              <w:jc w:val="left"/>
            </w:pPr>
            <w:r>
              <w:rPr>
                <w:rFonts w:ascii="Arial" w:cs="Arial" w:eastAsia="Arial" w:hAnsi="Arial"/>
                <w:b/>
                <w:bCs/>
                <w:i w:val="false"/>
                <w:iCs w:val="false"/>
                <w:color w:val="1A7A6E"/>
                <w:sz w:val="18"/>
                <w:szCs w:val="18"/>
              </w:rPr>
              <w:t xml:space="preserve">META   AVGO   BAC   TD   GS   JNJ   CVX</w:t>
            </w:r>
          </w:p>
        </w:tc>
        <w:tc>
          <w:tcPr>
            <w:tcW w:type="dxa" w:w="3120"/>
            <w:tcBorders>
              <w:top w:val="single" w:color="D0D5DD" w:sz="1"/>
              <w:left w:val="single" w:color="D0D5DD" w:sz="1"/>
              <w:bottom w:val="single" w:color="D0D5DD" w:sz="1"/>
              <w:right w:val="single" w:color="D0D5DD" w:sz="1"/>
            </w:tcBorders>
            <w:shd w:fill="F4F6F8" w:val="clear"/>
            <w:tcMar>
              <w:top w:type="dxa" w:w="85"/>
              <w:left w:type="dxa" w:w="120"/>
              <w:bottom w:type="dxa" w:w="85"/>
              <w:right w:type="dxa" w:w="120"/>
            </w:tcMar>
          </w:tcPr>
          <w:p>
            <w:pPr>
              <w:jc w:val="left"/>
            </w:pPr>
            <w:r>
              <w:rPr>
                <w:rFonts w:ascii="Arial" w:cs="Arial" w:eastAsia="Arial" w:hAnsi="Arial"/>
                <w:b w:val="false"/>
                <w:bCs w:val="false"/>
                <w:i w:val="false"/>
                <w:iCs w:val="false"/>
                <w:color w:val="555555"/>
                <w:sz w:val="17"/>
                <w:szCs w:val="17"/>
              </w:rPr>
              <w:t xml:space="preserve">Secondary positions — diversify within each sector</w:t>
            </w:r>
          </w:p>
        </w:tc>
      </w:tr>
      <w:tr>
        <w:tc>
          <w:tcPr>
            <w:tcW w:type="dxa" w:w="156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pPr>
              <w:jc w:val="left"/>
            </w:pPr>
            <w:r>
              <w:rPr>
                <w:rFonts w:ascii="Arial" w:cs="Arial" w:eastAsia="Arial" w:hAnsi="Arial"/>
                <w:b/>
                <w:bCs/>
                <w:i w:val="false"/>
                <w:iCs w:val="false"/>
                <w:color w:val="1B2A4A"/>
                <w:sz w:val="18"/>
                <w:szCs w:val="18"/>
              </w:rPr>
              <w:t xml:space="preserve">3%</w:t>
            </w:r>
          </w:p>
        </w:tc>
        <w:tc>
          <w:tcPr>
            <w:tcW w:type="dxa" w:w="468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pPr>
              <w:jc w:val="left"/>
            </w:pPr>
            <w:r>
              <w:rPr>
                <w:rFonts w:ascii="Arial" w:cs="Arial" w:eastAsia="Arial" w:hAnsi="Arial"/>
                <w:b/>
                <w:bCs/>
                <w:i w:val="false"/>
                <w:iCs w:val="false"/>
                <w:color w:val="1A7A6E"/>
                <w:sz w:val="18"/>
                <w:szCs w:val="18"/>
              </w:rPr>
              <w:t xml:space="preserve">BLK   ABBV   MRK   CNQ   COP   CAT   GE</w:t>
            </w:r>
          </w:p>
        </w:tc>
        <w:tc>
          <w:tcPr>
            <w:tcW w:type="dxa" w:w="312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pPr>
              <w:jc w:val="left"/>
            </w:pPr>
            <w:r>
              <w:rPr>
                <w:rFonts w:ascii="Arial" w:cs="Arial" w:eastAsia="Arial" w:hAnsi="Arial"/>
                <w:b w:val="false"/>
                <w:bCs w:val="false"/>
                <w:i w:val="false"/>
                <w:iCs w:val="false"/>
                <w:color w:val="555555"/>
                <w:sz w:val="17"/>
                <w:szCs w:val="17"/>
              </w:rPr>
              <w:t xml:space="preserve">Satellite holdings — add exposure without concentration</w:t>
            </w:r>
          </w:p>
        </w:tc>
      </w:tr>
      <w:tr>
        <w:tc>
          <w:tcPr>
            <w:tcW w:type="dxa" w:w="1560"/>
            <w:tcBorders>
              <w:top w:val="single" w:color="D0D5DD" w:sz="1"/>
              <w:left w:val="single" w:color="D0D5DD" w:sz="1"/>
              <w:bottom w:val="single" w:color="D0D5DD" w:sz="1"/>
              <w:right w:val="single" w:color="D0D5DD" w:sz="1"/>
            </w:tcBorders>
            <w:shd w:fill="F4F6F8" w:val="clear"/>
            <w:tcMar>
              <w:top w:type="dxa" w:w="85"/>
              <w:left w:type="dxa" w:w="120"/>
              <w:bottom w:type="dxa" w:w="85"/>
              <w:right w:type="dxa" w:w="120"/>
            </w:tcMar>
          </w:tcPr>
          <w:p>
            <w:pPr>
              <w:jc w:val="left"/>
            </w:pPr>
            <w:r>
              <w:rPr>
                <w:rFonts w:ascii="Arial" w:cs="Arial" w:eastAsia="Arial" w:hAnsi="Arial"/>
                <w:b/>
                <w:bCs/>
                <w:i w:val="false"/>
                <w:iCs w:val="false"/>
                <w:color w:val="1B2A4A"/>
                <w:sz w:val="18"/>
                <w:szCs w:val="18"/>
              </w:rPr>
              <w:t xml:space="preserve">2% (Smallest)</w:t>
            </w:r>
          </w:p>
        </w:tc>
        <w:tc>
          <w:tcPr>
            <w:tcW w:type="dxa" w:w="4680"/>
            <w:tcBorders>
              <w:top w:val="single" w:color="D0D5DD" w:sz="1"/>
              <w:left w:val="single" w:color="D0D5DD" w:sz="1"/>
              <w:bottom w:val="single" w:color="D0D5DD" w:sz="1"/>
              <w:right w:val="single" w:color="D0D5DD" w:sz="1"/>
            </w:tcBorders>
            <w:shd w:fill="F4F6F8" w:val="clear"/>
            <w:tcMar>
              <w:top w:type="dxa" w:w="85"/>
              <w:left w:type="dxa" w:w="120"/>
              <w:bottom w:type="dxa" w:w="85"/>
              <w:right w:type="dxa" w:w="120"/>
            </w:tcMar>
          </w:tcPr>
          <w:p>
            <w:pPr>
              <w:jc w:val="left"/>
            </w:pPr>
            <w:r>
              <w:rPr>
                <w:rFonts w:ascii="Arial" w:cs="Arial" w:eastAsia="Arial" w:hAnsi="Arial"/>
                <w:b/>
                <w:bCs/>
                <w:i w:val="false"/>
                <w:iCs w:val="false"/>
                <w:color w:val="1A7A6E"/>
                <w:sz w:val="18"/>
                <w:szCs w:val="18"/>
              </w:rPr>
              <w:t xml:space="preserve">HON   RTX</w:t>
            </w:r>
          </w:p>
        </w:tc>
        <w:tc>
          <w:tcPr>
            <w:tcW w:type="dxa" w:w="3120"/>
            <w:tcBorders>
              <w:top w:val="single" w:color="D0D5DD" w:sz="1"/>
              <w:left w:val="single" w:color="D0D5DD" w:sz="1"/>
              <w:bottom w:val="single" w:color="D0D5DD" w:sz="1"/>
              <w:right w:val="single" w:color="D0D5DD" w:sz="1"/>
            </w:tcBorders>
            <w:shd w:fill="F4F6F8" w:val="clear"/>
            <w:tcMar>
              <w:top w:type="dxa" w:w="85"/>
              <w:left w:type="dxa" w:w="120"/>
              <w:bottom w:type="dxa" w:w="85"/>
              <w:right w:type="dxa" w:w="120"/>
            </w:tcMar>
          </w:tcPr>
          <w:p>
            <w:pPr>
              <w:jc w:val="left"/>
            </w:pPr>
            <w:r>
              <w:rPr>
                <w:rFonts w:ascii="Arial" w:cs="Arial" w:eastAsia="Arial" w:hAnsi="Arial"/>
                <w:b w:val="false"/>
                <w:bCs w:val="false"/>
                <w:i w:val="false"/>
                <w:iCs w:val="false"/>
                <w:color w:val="555555"/>
                <w:sz w:val="17"/>
                <w:szCs w:val="17"/>
              </w:rPr>
              <w:t xml:space="preserve">Minimum positions — real exposure but tightly capped</w:t>
            </w:r>
          </w:p>
        </w:tc>
      </w:tr>
    </w:tbl>
    <w:p>
      <w:pPr>
        <w:spacing w:after="0" w:before="140"/>
      </w:pPr>
    </w:p>
    <w:p>
      <w:pPr>
        <w:spacing w:after="0" w:before="200"/>
      </w:pPr>
    </w:p>
    <w:p>
      <w:pPr>
        <w:spacing w:after="60" w:before="0"/>
      </w:pPr>
      <w:r>
        <w:rPr>
          <w:rFonts w:ascii="Arial" w:cs="Arial" w:eastAsia="Arial" w:hAnsi="Arial"/>
          <w:b/>
          <w:bCs/>
          <w:color w:val="C8861A"/>
          <w:sz w:val="27"/>
          <w:szCs w:val="27"/>
        </w:rPr>
        <w:t xml:space="preserve">04  </w:t>
      </w:r>
      <w:r>
        <w:rPr>
          <w:rFonts w:ascii="Arial" w:cs="Arial" w:eastAsia="Arial" w:hAnsi="Arial"/>
          <w:b/>
          <w:bCs/>
          <w:color w:val="1B2A4A"/>
          <w:sz w:val="27"/>
          <w:szCs w:val="27"/>
        </w:rPr>
        <w:t xml:space="preserve">Full Stock Universe — 25 Positions</w:t>
      </w:r>
    </w:p>
    <w:p>
      <w:pPr>
        <w:pBdr>
          <w:bottom w:val="single" w:color="2E5FA3" w:sz="8" w:space="1"/>
        </w:pBdr>
        <w:spacing w:after="120" w:before="0"/>
      </w:pPr>
    </w:p>
    <w:p>
      <w:pPr>
        <w:spacing w:after="0" w:before="80"/>
      </w:pPr>
    </w:p>
    <w:p>
      <w:r>
        <w:rPr>
          <w:rFonts w:ascii="Arial" w:cs="Arial" w:eastAsia="Arial" w:hAnsi="Arial"/>
          <w:color w:val="0A0A0A"/>
          <w:sz w:val="20"/>
          <w:szCs w:val="20"/>
        </w:rPr>
        <w:t xml:space="preserve">Each row shows the ticker, full company name, sector, listing exchange, portfolio weight, and the investment rationale that justifies its inclusion. Tickers trading on NYSE are accessible to both US and Canadian brokerage accounts.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3120"/>
        <w:gridCol w:w="1560"/>
        <w:gridCol w:w="840"/>
        <w:gridCol w:w="780"/>
        <w:gridCol w:w="2280"/>
      </w:tblGrid>
      <w:tr>
        <w:tc>
          <w:tcPr>
            <w:tcW w:type="dxa" w:w="780"/>
            <w:tcBorders>
              <w:top w:val="single" w:color="D0D5DD" w:sz="1"/>
              <w:left w:val="single" w:color="D0D5DD" w:sz="1"/>
              <w:bottom w:val="single" w:color="D0D5DD" w:sz="1"/>
              <w:right w:val="single" w:color="D0D5DD" w:sz="1"/>
            </w:tcBorders>
            <w:shd w:fill="1B2A4A" w:val="clear"/>
            <w:tcMar>
              <w:top w:type="dxa" w:w="85"/>
              <w:left w:type="dxa" w:w="120"/>
              <w:bottom w:type="dxa" w:w="85"/>
              <w:right w:type="dxa" w:w="120"/>
            </w:tcMar>
          </w:tcPr>
          <w:p>
            <w:pPr>
              <w:jc w:val="left"/>
            </w:pPr>
            <w:r>
              <w:rPr>
                <w:rFonts w:ascii="Arial" w:cs="Arial" w:eastAsia="Arial" w:hAnsi="Arial"/>
                <w:b/>
                <w:bCs/>
                <w:i w:val="false"/>
                <w:iCs w:val="false"/>
                <w:color w:val="FFFFFF"/>
                <w:sz w:val="18"/>
                <w:szCs w:val="18"/>
              </w:rPr>
              <w:t xml:space="preserve">#</w:t>
            </w:r>
          </w:p>
        </w:tc>
        <w:tc>
          <w:tcPr>
            <w:tcW w:type="dxa" w:w="3120"/>
            <w:tcBorders>
              <w:top w:val="single" w:color="D0D5DD" w:sz="1"/>
              <w:left w:val="single" w:color="D0D5DD" w:sz="1"/>
              <w:bottom w:val="single" w:color="D0D5DD" w:sz="1"/>
              <w:right w:val="single" w:color="D0D5DD" w:sz="1"/>
            </w:tcBorders>
            <w:shd w:fill="1B2A4A" w:val="clear"/>
            <w:tcMar>
              <w:top w:type="dxa" w:w="85"/>
              <w:left w:type="dxa" w:w="120"/>
              <w:bottom w:type="dxa" w:w="85"/>
              <w:right w:type="dxa" w:w="120"/>
            </w:tcMar>
          </w:tcPr>
          <w:p>
            <w:pPr>
              <w:jc w:val="left"/>
            </w:pPr>
            <w:r>
              <w:rPr>
                <w:rFonts w:ascii="Arial" w:cs="Arial" w:eastAsia="Arial" w:hAnsi="Arial"/>
                <w:b/>
                <w:bCs/>
                <w:i w:val="false"/>
                <w:iCs w:val="false"/>
                <w:color w:val="FFFFFF"/>
                <w:sz w:val="18"/>
                <w:szCs w:val="18"/>
              </w:rPr>
              <w:t xml:space="preserve">Company</w:t>
            </w:r>
          </w:p>
        </w:tc>
        <w:tc>
          <w:tcPr>
            <w:tcW w:type="dxa" w:w="1560"/>
            <w:tcBorders>
              <w:top w:val="single" w:color="D0D5DD" w:sz="1"/>
              <w:left w:val="single" w:color="D0D5DD" w:sz="1"/>
              <w:bottom w:val="single" w:color="D0D5DD" w:sz="1"/>
              <w:right w:val="single" w:color="D0D5DD" w:sz="1"/>
            </w:tcBorders>
            <w:shd w:fill="1B2A4A" w:val="clear"/>
            <w:tcMar>
              <w:top w:type="dxa" w:w="85"/>
              <w:left w:type="dxa" w:w="120"/>
              <w:bottom w:type="dxa" w:w="85"/>
              <w:right w:type="dxa" w:w="120"/>
            </w:tcMar>
          </w:tcPr>
          <w:p>
            <w:pPr>
              <w:jc w:val="left"/>
            </w:pPr>
            <w:r>
              <w:rPr>
                <w:rFonts w:ascii="Arial" w:cs="Arial" w:eastAsia="Arial" w:hAnsi="Arial"/>
                <w:b/>
                <w:bCs/>
                <w:i w:val="false"/>
                <w:iCs w:val="false"/>
                <w:color w:val="FFFFFF"/>
                <w:sz w:val="18"/>
                <w:szCs w:val="18"/>
              </w:rPr>
              <w:t xml:space="preserve">Sector</w:t>
            </w:r>
          </w:p>
        </w:tc>
        <w:tc>
          <w:tcPr>
            <w:tcW w:type="dxa" w:w="840"/>
            <w:tcBorders>
              <w:top w:val="single" w:color="D0D5DD" w:sz="1"/>
              <w:left w:val="single" w:color="D0D5DD" w:sz="1"/>
              <w:bottom w:val="single" w:color="D0D5DD" w:sz="1"/>
              <w:right w:val="single" w:color="D0D5DD" w:sz="1"/>
            </w:tcBorders>
            <w:shd w:fill="1B2A4A" w:val="clear"/>
            <w:tcMar>
              <w:top w:type="dxa" w:w="85"/>
              <w:left w:type="dxa" w:w="120"/>
              <w:bottom w:type="dxa" w:w="85"/>
              <w:right w:type="dxa" w:w="120"/>
            </w:tcMar>
          </w:tcPr>
          <w:p>
            <w:pPr>
              <w:jc w:val="left"/>
            </w:pPr>
            <w:r>
              <w:rPr>
                <w:rFonts w:ascii="Arial" w:cs="Arial" w:eastAsia="Arial" w:hAnsi="Arial"/>
                <w:b/>
                <w:bCs/>
                <w:i w:val="false"/>
                <w:iCs w:val="false"/>
                <w:color w:val="FFFFFF"/>
                <w:sz w:val="18"/>
                <w:szCs w:val="18"/>
              </w:rPr>
              <w:t xml:space="preserve">Exchange</w:t>
            </w:r>
          </w:p>
        </w:tc>
        <w:tc>
          <w:tcPr>
            <w:tcW w:type="dxa" w:w="780"/>
            <w:tcBorders>
              <w:top w:val="single" w:color="D0D5DD" w:sz="1"/>
              <w:left w:val="single" w:color="D0D5DD" w:sz="1"/>
              <w:bottom w:val="single" w:color="D0D5DD" w:sz="1"/>
              <w:right w:val="single" w:color="D0D5DD" w:sz="1"/>
            </w:tcBorders>
            <w:shd w:fill="1B2A4A" w:val="clear"/>
            <w:tcMar>
              <w:top w:type="dxa" w:w="85"/>
              <w:left w:type="dxa" w:w="120"/>
              <w:bottom w:type="dxa" w:w="85"/>
              <w:right w:type="dxa" w:w="120"/>
            </w:tcMar>
          </w:tcPr>
          <w:p>
            <w:pPr>
              <w:jc w:val="left"/>
            </w:pPr>
            <w:r>
              <w:rPr>
                <w:rFonts w:ascii="Arial" w:cs="Arial" w:eastAsia="Arial" w:hAnsi="Arial"/>
                <w:b/>
                <w:bCs/>
                <w:i w:val="false"/>
                <w:iCs w:val="false"/>
                <w:color w:val="FFFFFF"/>
                <w:sz w:val="18"/>
                <w:szCs w:val="18"/>
              </w:rPr>
              <w:t xml:space="preserve">Weight</w:t>
            </w:r>
          </w:p>
        </w:tc>
        <w:tc>
          <w:tcPr>
            <w:tcW w:type="dxa" w:w="2280"/>
            <w:tcBorders>
              <w:top w:val="single" w:color="D0D5DD" w:sz="1"/>
              <w:left w:val="single" w:color="D0D5DD" w:sz="1"/>
              <w:bottom w:val="single" w:color="D0D5DD" w:sz="1"/>
              <w:right w:val="single" w:color="D0D5DD" w:sz="1"/>
            </w:tcBorders>
            <w:shd w:fill="1B2A4A" w:val="clear"/>
            <w:tcMar>
              <w:top w:type="dxa" w:w="85"/>
              <w:left w:type="dxa" w:w="120"/>
              <w:bottom w:type="dxa" w:w="85"/>
              <w:right w:type="dxa" w:w="120"/>
            </w:tcMar>
          </w:tcPr>
          <w:p>
            <w:pPr>
              <w:jc w:val="left"/>
            </w:pPr>
            <w:r>
              <w:rPr>
                <w:rFonts w:ascii="Arial" w:cs="Arial" w:eastAsia="Arial" w:hAnsi="Arial"/>
                <w:b/>
                <w:bCs/>
                <w:i w:val="false"/>
                <w:iCs w:val="false"/>
                <w:color w:val="FFFFFF"/>
                <w:sz w:val="18"/>
                <w:szCs w:val="18"/>
              </w:rPr>
              <w:t xml:space="preserve">Investment Rationale</w:t>
            </w:r>
          </w:p>
        </w:tc>
      </w:tr>
      <w:tr>
        <w:tc>
          <w:tcPr>
            <w:tcW w:type="dxa" w:w="9360"/>
            <w:gridSpan w:val="6"/>
            <w:tcBorders>
              <w:top w:val="single" w:color="D0D5DD" w:sz="1"/>
              <w:left w:val="single" w:color="D0D5DD" w:sz="1"/>
              <w:bottom w:val="single" w:color="D0D5DD" w:sz="1"/>
              <w:right w:val="single" w:color="D0D5DD" w:sz="1"/>
            </w:tcBorders>
            <w:shd w:fill="1A5276" w:val="clear"/>
            <w:tcMar>
              <w:top w:type="dxa" w:w="80"/>
              <w:left w:type="dxa" w:w="140"/>
              <w:bottom w:type="dxa" w:w="80"/>
              <w:right w:type="dxa" w:w="140"/>
            </w:tcMar>
          </w:tcPr>
          <w:p>
            <w:r>
              <w:rPr>
                <w:rFonts w:ascii="Arial" w:cs="Arial" w:eastAsia="Arial" w:hAnsi="Arial"/>
                <w:b/>
                <w:bCs/>
                <w:color w:val="FFFFFF"/>
                <w:sz w:val="19"/>
                <w:szCs w:val="19"/>
              </w:rPr>
              <w:t xml:space="preserve">▸  TECHNOLOGY</w:t>
            </w:r>
          </w:p>
        </w:tc>
      </w:tr>
      <w:tr>
        <w:tc>
          <w:tcPr>
            <w:tcW w:type="dxa" w:w="780"/>
            <w:tcBorders>
              <w:top w:val="single" w:color="D0D5DD" w:sz="1"/>
              <w:left w:val="single" w:color="D0D5DD" w:sz="1"/>
              <w:bottom w:val="single" w:color="D0D5DD" w:sz="1"/>
              <w:right w:val="single" w:color="D0D5DD" w:sz="1"/>
            </w:tcBorders>
            <w:shd w:fill="D4E6F1" w:val="clear"/>
            <w:tcMar>
              <w:top w:type="dxa" w:w="85"/>
              <w:left w:type="dxa" w:w="120"/>
              <w:bottom w:type="dxa" w:w="85"/>
              <w:right w:type="dxa" w:w="120"/>
            </w:tcMar>
          </w:tcPr>
          <w:p>
            <w:pPr>
              <w:jc w:val="center"/>
            </w:pPr>
            <w:r>
              <w:rPr>
                <w:rFonts w:ascii="Arial" w:cs="Arial" w:eastAsia="Arial" w:hAnsi="Arial"/>
                <w:b w:val="false"/>
                <w:bCs w:val="false"/>
                <w:i w:val="false"/>
                <w:iCs w:val="false"/>
                <w:color w:val="555555"/>
                <w:sz w:val="18"/>
                <w:szCs w:val="18"/>
              </w:rPr>
              <w:t xml:space="preserve">1</w:t>
            </w:r>
          </w:p>
        </w:tc>
        <w:tc>
          <w:tcPr>
            <w:tcW w:type="dxa" w:w="3120"/>
            <w:tcBorders>
              <w:top w:val="single" w:color="D0D5DD" w:sz="1"/>
              <w:left w:val="single" w:color="D0D5DD" w:sz="1"/>
              <w:bottom w:val="single" w:color="D0D5DD" w:sz="1"/>
              <w:right w:val="single" w:color="D0D5DD" w:sz="1"/>
            </w:tcBorders>
            <w:shd w:fill="D4E6F1" w:val="clear"/>
            <w:tcMar>
              <w:top w:type="dxa" w:w="85"/>
              <w:left w:type="dxa" w:w="120"/>
              <w:bottom w:type="dxa" w:w="85"/>
              <w:right w:type="dxa" w:w="120"/>
            </w:tcMar>
          </w:tcPr>
          <w:p>
            <w:r>
              <w:rPr>
                <w:rFonts w:ascii="Arial" w:cs="Arial" w:eastAsia="Arial" w:hAnsi="Arial"/>
                <w:b/>
                <w:bCs/>
                <w:color w:val="1A5276"/>
                <w:sz w:val="19"/>
                <w:szCs w:val="19"/>
              </w:rPr>
              <w:t xml:space="preserve">AAPL</w:t>
            </w:r>
          </w:p>
          <w:p>
            <w:r>
              <w:rPr>
                <w:rFonts w:ascii="Arial" w:cs="Arial" w:eastAsia="Arial" w:hAnsi="Arial"/>
                <w:color w:val="555555"/>
                <w:sz w:val="17"/>
                <w:szCs w:val="17"/>
              </w:rPr>
              <w:t xml:space="preserve">Apple Inc.</w:t>
            </w:r>
          </w:p>
        </w:tc>
        <w:tc>
          <w:tcPr>
            <w:tcW w:type="dxa" w:w="1560"/>
            <w:tcBorders>
              <w:top w:val="single" w:color="D0D5DD" w:sz="1"/>
              <w:left w:val="single" w:color="D0D5DD" w:sz="1"/>
              <w:bottom w:val="single" w:color="D0D5DD" w:sz="1"/>
              <w:right w:val="single" w:color="D0D5DD" w:sz="1"/>
            </w:tcBorders>
            <w:shd w:fill="D4E6F1" w:val="clear"/>
            <w:tcMar>
              <w:top w:type="dxa" w:w="85"/>
              <w:left w:type="dxa" w:w="120"/>
              <w:bottom w:type="dxa" w:w="85"/>
              <w:right w:type="dxa" w:w="120"/>
            </w:tcMar>
          </w:tcPr>
          <w:p>
            <w:pPr>
              <w:jc w:val="left"/>
            </w:pPr>
            <w:r>
              <w:rPr>
                <w:rFonts w:ascii="Arial" w:cs="Arial" w:eastAsia="Arial" w:hAnsi="Arial"/>
                <w:b/>
                <w:bCs/>
                <w:i w:val="false"/>
                <w:iCs w:val="false"/>
                <w:color w:val="1A5276"/>
                <w:sz w:val="17"/>
                <w:szCs w:val="17"/>
              </w:rPr>
              <w:t xml:space="preserve">Technology</w:t>
            </w:r>
          </w:p>
        </w:tc>
        <w:tc>
          <w:tcPr>
            <w:tcW w:type="dxa" w:w="840"/>
            <w:tcBorders>
              <w:top w:val="single" w:color="D0D5DD" w:sz="1"/>
              <w:left w:val="single" w:color="D0D5DD" w:sz="1"/>
              <w:bottom w:val="single" w:color="D0D5DD" w:sz="1"/>
              <w:right w:val="single" w:color="D0D5DD" w:sz="1"/>
            </w:tcBorders>
            <w:shd w:fill="D4E6F1" w:val="clear"/>
            <w:tcMar>
              <w:top w:type="dxa" w:w="85"/>
              <w:left w:type="dxa" w:w="120"/>
              <w:bottom w:type="dxa" w:w="85"/>
              <w:right w:type="dxa" w:w="120"/>
            </w:tcMar>
          </w:tcPr>
          <w:p>
            <w:pPr>
              <w:jc w:val="left"/>
            </w:pPr>
            <w:r>
              <w:rPr>
                <w:rFonts w:ascii="Arial" w:cs="Arial" w:eastAsia="Arial" w:hAnsi="Arial"/>
                <w:b w:val="false"/>
                <w:bCs w:val="false"/>
                <w:i w:val="false"/>
                <w:iCs w:val="false"/>
                <w:color w:val="555555"/>
                <w:sz w:val="17"/>
                <w:szCs w:val="17"/>
              </w:rPr>
              <w:t xml:space="preserve">NASDAQ</w:t>
            </w:r>
          </w:p>
        </w:tc>
        <w:tc>
          <w:tcPr>
            <w:tcW w:type="dxa" w:w="780"/>
            <w:tcBorders>
              <w:top w:val="single" w:color="D0D5DD" w:sz="1"/>
              <w:left w:val="single" w:color="D0D5DD" w:sz="1"/>
              <w:bottom w:val="single" w:color="D0D5DD" w:sz="1"/>
              <w:right w:val="single" w:color="D0D5DD" w:sz="1"/>
            </w:tcBorders>
            <w:shd w:fill="D4E6F1" w:val="clear"/>
            <w:tcMar>
              <w:top w:type="dxa" w:w="85"/>
              <w:left w:type="dxa" w:w="120"/>
              <w:bottom w:type="dxa" w:w="85"/>
              <w:right w:type="dxa" w:w="120"/>
            </w:tcMar>
          </w:tcPr>
          <w:p>
            <w:pPr>
              <w:jc w:val="center"/>
            </w:pPr>
            <w:r>
              <w:rPr>
                <w:rFonts w:ascii="Arial" w:cs="Arial" w:eastAsia="Arial" w:hAnsi="Arial"/>
                <w:b/>
                <w:bCs/>
                <w:i w:val="false"/>
                <w:iCs w:val="false"/>
                <w:color w:val="1B2A4A"/>
                <w:sz w:val="19"/>
                <w:szCs w:val="19"/>
              </w:rPr>
              <w:t xml:space="preserve">6%</w:t>
            </w:r>
          </w:p>
        </w:tc>
        <w:tc>
          <w:tcPr>
            <w:tcW w:type="dxa" w:w="2280"/>
            <w:tcBorders>
              <w:top w:val="single" w:color="D0D5DD" w:sz="1"/>
              <w:left w:val="single" w:color="D0D5DD" w:sz="1"/>
              <w:bottom w:val="single" w:color="D0D5DD" w:sz="1"/>
              <w:right w:val="single" w:color="D0D5DD" w:sz="1"/>
            </w:tcBorders>
            <w:shd w:fill="D4E6F1" w:val="clear"/>
            <w:tcMar>
              <w:top w:type="dxa" w:w="85"/>
              <w:left w:type="dxa" w:w="120"/>
              <w:bottom w:type="dxa" w:w="85"/>
              <w:right w:type="dxa" w:w="120"/>
            </w:tcMar>
          </w:tcPr>
          <w:p>
            <w:pPr>
              <w:jc w:val="left"/>
            </w:pPr>
            <w:r>
              <w:rPr>
                <w:rFonts w:ascii="Arial" w:cs="Arial" w:eastAsia="Arial" w:hAnsi="Arial"/>
                <w:b w:val="false"/>
                <w:bCs w:val="false"/>
                <w:i w:val="false"/>
                <w:iCs w:val="false"/>
                <w:color w:val="555555"/>
                <w:sz w:val="16"/>
                <w:szCs w:val="16"/>
              </w:rPr>
              <w:t xml:space="preserve">Largest market cap; low beta, consistent cash flows</w:t>
            </w:r>
          </w:p>
        </w:tc>
      </w:tr>
      <w:tr>
        <w:tc>
          <w:tcPr>
            <w:tcW w:type="dxa" w:w="78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pPr>
              <w:jc w:val="center"/>
            </w:pPr>
            <w:r>
              <w:rPr>
                <w:rFonts w:ascii="Arial" w:cs="Arial" w:eastAsia="Arial" w:hAnsi="Arial"/>
                <w:b w:val="false"/>
                <w:bCs w:val="false"/>
                <w:i w:val="false"/>
                <w:iCs w:val="false"/>
                <w:color w:val="555555"/>
                <w:sz w:val="18"/>
                <w:szCs w:val="18"/>
              </w:rPr>
              <w:t xml:space="preserve">2</w:t>
            </w:r>
          </w:p>
        </w:tc>
        <w:tc>
          <w:tcPr>
            <w:tcW w:type="dxa" w:w="312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r>
              <w:rPr>
                <w:rFonts w:ascii="Arial" w:cs="Arial" w:eastAsia="Arial" w:hAnsi="Arial"/>
                <w:b/>
                <w:bCs/>
                <w:color w:val="1A5276"/>
                <w:sz w:val="19"/>
                <w:szCs w:val="19"/>
              </w:rPr>
              <w:t xml:space="preserve">MSFT</w:t>
            </w:r>
          </w:p>
          <w:p>
            <w:r>
              <w:rPr>
                <w:rFonts w:ascii="Arial" w:cs="Arial" w:eastAsia="Arial" w:hAnsi="Arial"/>
                <w:color w:val="555555"/>
                <w:sz w:val="17"/>
                <w:szCs w:val="17"/>
              </w:rPr>
              <w:t xml:space="preserve">Microsoft Corp.</w:t>
            </w:r>
          </w:p>
        </w:tc>
        <w:tc>
          <w:tcPr>
            <w:tcW w:type="dxa" w:w="156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pPr>
              <w:jc w:val="left"/>
            </w:pPr>
            <w:r>
              <w:rPr>
                <w:rFonts w:ascii="Arial" w:cs="Arial" w:eastAsia="Arial" w:hAnsi="Arial"/>
                <w:b/>
                <w:bCs/>
                <w:i w:val="false"/>
                <w:iCs w:val="false"/>
                <w:color w:val="1A5276"/>
                <w:sz w:val="17"/>
                <w:szCs w:val="17"/>
              </w:rPr>
              <w:t xml:space="preserve">Technology</w:t>
            </w:r>
          </w:p>
        </w:tc>
        <w:tc>
          <w:tcPr>
            <w:tcW w:type="dxa" w:w="84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pPr>
              <w:jc w:val="left"/>
            </w:pPr>
            <w:r>
              <w:rPr>
                <w:rFonts w:ascii="Arial" w:cs="Arial" w:eastAsia="Arial" w:hAnsi="Arial"/>
                <w:b w:val="false"/>
                <w:bCs w:val="false"/>
                <w:i w:val="false"/>
                <w:iCs w:val="false"/>
                <w:color w:val="555555"/>
                <w:sz w:val="17"/>
                <w:szCs w:val="17"/>
              </w:rPr>
              <w:t xml:space="preserve">NASDAQ</w:t>
            </w:r>
          </w:p>
        </w:tc>
        <w:tc>
          <w:tcPr>
            <w:tcW w:type="dxa" w:w="78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pPr>
              <w:jc w:val="center"/>
            </w:pPr>
            <w:r>
              <w:rPr>
                <w:rFonts w:ascii="Arial" w:cs="Arial" w:eastAsia="Arial" w:hAnsi="Arial"/>
                <w:b/>
                <w:bCs/>
                <w:i w:val="false"/>
                <w:iCs w:val="false"/>
                <w:color w:val="1B2A4A"/>
                <w:sz w:val="19"/>
                <w:szCs w:val="19"/>
              </w:rPr>
              <w:t xml:space="preserve">6%</w:t>
            </w:r>
          </w:p>
        </w:tc>
        <w:tc>
          <w:tcPr>
            <w:tcW w:type="dxa" w:w="228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pPr>
              <w:jc w:val="left"/>
            </w:pPr>
            <w:r>
              <w:rPr>
                <w:rFonts w:ascii="Arial" w:cs="Arial" w:eastAsia="Arial" w:hAnsi="Arial"/>
                <w:b w:val="false"/>
                <w:bCs w:val="false"/>
                <w:i w:val="false"/>
                <w:iCs w:val="false"/>
                <w:color w:val="555555"/>
                <w:sz w:val="16"/>
                <w:szCs w:val="16"/>
              </w:rPr>
              <w:t xml:space="preserve">Cloud dominance via Azure; recurring SaaS revenue base</w:t>
            </w:r>
          </w:p>
        </w:tc>
      </w:tr>
      <w:tr>
        <w:tc>
          <w:tcPr>
            <w:tcW w:type="dxa" w:w="780"/>
            <w:tcBorders>
              <w:top w:val="single" w:color="D0D5DD" w:sz="1"/>
              <w:left w:val="single" w:color="D0D5DD" w:sz="1"/>
              <w:bottom w:val="single" w:color="D0D5DD" w:sz="1"/>
              <w:right w:val="single" w:color="D0D5DD" w:sz="1"/>
            </w:tcBorders>
            <w:shd w:fill="D4E6F1" w:val="clear"/>
            <w:tcMar>
              <w:top w:type="dxa" w:w="85"/>
              <w:left w:type="dxa" w:w="120"/>
              <w:bottom w:type="dxa" w:w="85"/>
              <w:right w:type="dxa" w:w="120"/>
            </w:tcMar>
          </w:tcPr>
          <w:p>
            <w:pPr>
              <w:jc w:val="center"/>
            </w:pPr>
            <w:r>
              <w:rPr>
                <w:rFonts w:ascii="Arial" w:cs="Arial" w:eastAsia="Arial" w:hAnsi="Arial"/>
                <w:b w:val="false"/>
                <w:bCs w:val="false"/>
                <w:i w:val="false"/>
                <w:iCs w:val="false"/>
                <w:color w:val="555555"/>
                <w:sz w:val="18"/>
                <w:szCs w:val="18"/>
              </w:rPr>
              <w:t xml:space="preserve">3</w:t>
            </w:r>
          </w:p>
        </w:tc>
        <w:tc>
          <w:tcPr>
            <w:tcW w:type="dxa" w:w="3120"/>
            <w:tcBorders>
              <w:top w:val="single" w:color="D0D5DD" w:sz="1"/>
              <w:left w:val="single" w:color="D0D5DD" w:sz="1"/>
              <w:bottom w:val="single" w:color="D0D5DD" w:sz="1"/>
              <w:right w:val="single" w:color="D0D5DD" w:sz="1"/>
            </w:tcBorders>
            <w:shd w:fill="D4E6F1" w:val="clear"/>
            <w:tcMar>
              <w:top w:type="dxa" w:w="85"/>
              <w:left w:type="dxa" w:w="120"/>
              <w:bottom w:type="dxa" w:w="85"/>
              <w:right w:type="dxa" w:w="120"/>
            </w:tcMar>
          </w:tcPr>
          <w:p>
            <w:r>
              <w:rPr>
                <w:rFonts w:ascii="Arial" w:cs="Arial" w:eastAsia="Arial" w:hAnsi="Arial"/>
                <w:b/>
                <w:bCs/>
                <w:color w:val="1A5276"/>
                <w:sz w:val="19"/>
                <w:szCs w:val="19"/>
              </w:rPr>
              <w:t xml:space="preserve">NVDA</w:t>
            </w:r>
          </w:p>
          <w:p>
            <w:r>
              <w:rPr>
                <w:rFonts w:ascii="Arial" w:cs="Arial" w:eastAsia="Arial" w:hAnsi="Arial"/>
                <w:color w:val="555555"/>
                <w:sz w:val="17"/>
                <w:szCs w:val="17"/>
              </w:rPr>
              <w:t xml:space="preserve">NVIDIA Corp.</w:t>
            </w:r>
          </w:p>
        </w:tc>
        <w:tc>
          <w:tcPr>
            <w:tcW w:type="dxa" w:w="1560"/>
            <w:tcBorders>
              <w:top w:val="single" w:color="D0D5DD" w:sz="1"/>
              <w:left w:val="single" w:color="D0D5DD" w:sz="1"/>
              <w:bottom w:val="single" w:color="D0D5DD" w:sz="1"/>
              <w:right w:val="single" w:color="D0D5DD" w:sz="1"/>
            </w:tcBorders>
            <w:shd w:fill="D4E6F1" w:val="clear"/>
            <w:tcMar>
              <w:top w:type="dxa" w:w="85"/>
              <w:left w:type="dxa" w:w="120"/>
              <w:bottom w:type="dxa" w:w="85"/>
              <w:right w:type="dxa" w:w="120"/>
            </w:tcMar>
          </w:tcPr>
          <w:p>
            <w:pPr>
              <w:jc w:val="left"/>
            </w:pPr>
            <w:r>
              <w:rPr>
                <w:rFonts w:ascii="Arial" w:cs="Arial" w:eastAsia="Arial" w:hAnsi="Arial"/>
                <w:b/>
                <w:bCs/>
                <w:i w:val="false"/>
                <w:iCs w:val="false"/>
                <w:color w:val="1A5276"/>
                <w:sz w:val="17"/>
                <w:szCs w:val="17"/>
              </w:rPr>
              <w:t xml:space="preserve">Technology</w:t>
            </w:r>
          </w:p>
        </w:tc>
        <w:tc>
          <w:tcPr>
            <w:tcW w:type="dxa" w:w="840"/>
            <w:tcBorders>
              <w:top w:val="single" w:color="D0D5DD" w:sz="1"/>
              <w:left w:val="single" w:color="D0D5DD" w:sz="1"/>
              <w:bottom w:val="single" w:color="D0D5DD" w:sz="1"/>
              <w:right w:val="single" w:color="D0D5DD" w:sz="1"/>
            </w:tcBorders>
            <w:shd w:fill="D4E6F1" w:val="clear"/>
            <w:tcMar>
              <w:top w:type="dxa" w:w="85"/>
              <w:left w:type="dxa" w:w="120"/>
              <w:bottom w:type="dxa" w:w="85"/>
              <w:right w:type="dxa" w:w="120"/>
            </w:tcMar>
          </w:tcPr>
          <w:p>
            <w:pPr>
              <w:jc w:val="left"/>
            </w:pPr>
            <w:r>
              <w:rPr>
                <w:rFonts w:ascii="Arial" w:cs="Arial" w:eastAsia="Arial" w:hAnsi="Arial"/>
                <w:b w:val="false"/>
                <w:bCs w:val="false"/>
                <w:i w:val="false"/>
                <w:iCs w:val="false"/>
                <w:color w:val="555555"/>
                <w:sz w:val="17"/>
                <w:szCs w:val="17"/>
              </w:rPr>
              <w:t xml:space="preserve">NASDAQ</w:t>
            </w:r>
          </w:p>
        </w:tc>
        <w:tc>
          <w:tcPr>
            <w:tcW w:type="dxa" w:w="780"/>
            <w:tcBorders>
              <w:top w:val="single" w:color="D0D5DD" w:sz="1"/>
              <w:left w:val="single" w:color="D0D5DD" w:sz="1"/>
              <w:bottom w:val="single" w:color="D0D5DD" w:sz="1"/>
              <w:right w:val="single" w:color="D0D5DD" w:sz="1"/>
            </w:tcBorders>
            <w:shd w:fill="D4E6F1" w:val="clear"/>
            <w:tcMar>
              <w:top w:type="dxa" w:w="85"/>
              <w:left w:type="dxa" w:w="120"/>
              <w:bottom w:type="dxa" w:w="85"/>
              <w:right w:type="dxa" w:w="120"/>
            </w:tcMar>
          </w:tcPr>
          <w:p>
            <w:pPr>
              <w:jc w:val="center"/>
            </w:pPr>
            <w:r>
              <w:rPr>
                <w:rFonts w:ascii="Arial" w:cs="Arial" w:eastAsia="Arial" w:hAnsi="Arial"/>
                <w:b/>
                <w:bCs/>
                <w:i w:val="false"/>
                <w:iCs w:val="false"/>
                <w:color w:val="1B2A4A"/>
                <w:sz w:val="19"/>
                <w:szCs w:val="19"/>
              </w:rPr>
              <w:t xml:space="preserve">5%</w:t>
            </w:r>
          </w:p>
        </w:tc>
        <w:tc>
          <w:tcPr>
            <w:tcW w:type="dxa" w:w="2280"/>
            <w:tcBorders>
              <w:top w:val="single" w:color="D0D5DD" w:sz="1"/>
              <w:left w:val="single" w:color="D0D5DD" w:sz="1"/>
              <w:bottom w:val="single" w:color="D0D5DD" w:sz="1"/>
              <w:right w:val="single" w:color="D0D5DD" w:sz="1"/>
            </w:tcBorders>
            <w:shd w:fill="D4E6F1" w:val="clear"/>
            <w:tcMar>
              <w:top w:type="dxa" w:w="85"/>
              <w:left w:type="dxa" w:w="120"/>
              <w:bottom w:type="dxa" w:w="85"/>
              <w:right w:type="dxa" w:w="120"/>
            </w:tcMar>
          </w:tcPr>
          <w:p>
            <w:pPr>
              <w:jc w:val="left"/>
            </w:pPr>
            <w:r>
              <w:rPr>
                <w:rFonts w:ascii="Arial" w:cs="Arial" w:eastAsia="Arial" w:hAnsi="Arial"/>
                <w:b w:val="false"/>
                <w:bCs w:val="false"/>
                <w:i w:val="false"/>
                <w:iCs w:val="false"/>
                <w:color w:val="555555"/>
                <w:sz w:val="16"/>
                <w:szCs w:val="16"/>
              </w:rPr>
              <w:t xml:space="preserve">AI/GPU leadership; high growth, higher volatility</w:t>
            </w:r>
          </w:p>
        </w:tc>
      </w:tr>
      <w:tr>
        <w:tc>
          <w:tcPr>
            <w:tcW w:type="dxa" w:w="78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pPr>
              <w:jc w:val="center"/>
            </w:pPr>
            <w:r>
              <w:rPr>
                <w:rFonts w:ascii="Arial" w:cs="Arial" w:eastAsia="Arial" w:hAnsi="Arial"/>
                <w:b w:val="false"/>
                <w:bCs w:val="false"/>
                <w:i w:val="false"/>
                <w:iCs w:val="false"/>
                <w:color w:val="555555"/>
                <w:sz w:val="18"/>
                <w:szCs w:val="18"/>
              </w:rPr>
              <w:t xml:space="preserve">4</w:t>
            </w:r>
          </w:p>
        </w:tc>
        <w:tc>
          <w:tcPr>
            <w:tcW w:type="dxa" w:w="312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r>
              <w:rPr>
                <w:rFonts w:ascii="Arial" w:cs="Arial" w:eastAsia="Arial" w:hAnsi="Arial"/>
                <w:b/>
                <w:bCs/>
                <w:color w:val="1A5276"/>
                <w:sz w:val="19"/>
                <w:szCs w:val="19"/>
              </w:rPr>
              <w:t xml:space="preserve">GOOGL</w:t>
            </w:r>
          </w:p>
          <w:p>
            <w:r>
              <w:rPr>
                <w:rFonts w:ascii="Arial" w:cs="Arial" w:eastAsia="Arial" w:hAnsi="Arial"/>
                <w:color w:val="555555"/>
                <w:sz w:val="17"/>
                <w:szCs w:val="17"/>
              </w:rPr>
              <w:t xml:space="preserve">Alphabet Inc.</w:t>
            </w:r>
          </w:p>
        </w:tc>
        <w:tc>
          <w:tcPr>
            <w:tcW w:type="dxa" w:w="156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pPr>
              <w:jc w:val="left"/>
            </w:pPr>
            <w:r>
              <w:rPr>
                <w:rFonts w:ascii="Arial" w:cs="Arial" w:eastAsia="Arial" w:hAnsi="Arial"/>
                <w:b/>
                <w:bCs/>
                <w:i w:val="false"/>
                <w:iCs w:val="false"/>
                <w:color w:val="1A5276"/>
                <w:sz w:val="17"/>
                <w:szCs w:val="17"/>
              </w:rPr>
              <w:t xml:space="preserve">Technology</w:t>
            </w:r>
          </w:p>
        </w:tc>
        <w:tc>
          <w:tcPr>
            <w:tcW w:type="dxa" w:w="84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pPr>
              <w:jc w:val="left"/>
            </w:pPr>
            <w:r>
              <w:rPr>
                <w:rFonts w:ascii="Arial" w:cs="Arial" w:eastAsia="Arial" w:hAnsi="Arial"/>
                <w:b w:val="false"/>
                <w:bCs w:val="false"/>
                <w:i w:val="false"/>
                <w:iCs w:val="false"/>
                <w:color w:val="555555"/>
                <w:sz w:val="17"/>
                <w:szCs w:val="17"/>
              </w:rPr>
              <w:t xml:space="preserve">NASDAQ</w:t>
            </w:r>
          </w:p>
        </w:tc>
        <w:tc>
          <w:tcPr>
            <w:tcW w:type="dxa" w:w="78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pPr>
              <w:jc w:val="center"/>
            </w:pPr>
            <w:r>
              <w:rPr>
                <w:rFonts w:ascii="Arial" w:cs="Arial" w:eastAsia="Arial" w:hAnsi="Arial"/>
                <w:b/>
                <w:bCs/>
                <w:i w:val="false"/>
                <w:iCs w:val="false"/>
                <w:color w:val="1B2A4A"/>
                <w:sz w:val="19"/>
                <w:szCs w:val="19"/>
              </w:rPr>
              <w:t xml:space="preserve">5%</w:t>
            </w:r>
          </w:p>
        </w:tc>
        <w:tc>
          <w:tcPr>
            <w:tcW w:type="dxa" w:w="228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pPr>
              <w:jc w:val="left"/>
            </w:pPr>
            <w:r>
              <w:rPr>
                <w:rFonts w:ascii="Arial" w:cs="Arial" w:eastAsia="Arial" w:hAnsi="Arial"/>
                <w:b w:val="false"/>
                <w:bCs w:val="false"/>
                <w:i w:val="false"/>
                <w:iCs w:val="false"/>
                <w:color w:val="555555"/>
                <w:sz w:val="16"/>
                <w:szCs w:val="16"/>
              </w:rPr>
              <w:t xml:space="preserve">Search monopoly + cloud; diversified revenue streams</w:t>
            </w:r>
          </w:p>
        </w:tc>
      </w:tr>
      <w:tr>
        <w:tc>
          <w:tcPr>
            <w:tcW w:type="dxa" w:w="780"/>
            <w:tcBorders>
              <w:top w:val="single" w:color="D0D5DD" w:sz="1"/>
              <w:left w:val="single" w:color="D0D5DD" w:sz="1"/>
              <w:bottom w:val="single" w:color="D0D5DD" w:sz="1"/>
              <w:right w:val="single" w:color="D0D5DD" w:sz="1"/>
            </w:tcBorders>
            <w:shd w:fill="D4E6F1" w:val="clear"/>
            <w:tcMar>
              <w:top w:type="dxa" w:w="85"/>
              <w:left w:type="dxa" w:w="120"/>
              <w:bottom w:type="dxa" w:w="85"/>
              <w:right w:type="dxa" w:w="120"/>
            </w:tcMar>
          </w:tcPr>
          <w:p>
            <w:pPr>
              <w:jc w:val="center"/>
            </w:pPr>
            <w:r>
              <w:rPr>
                <w:rFonts w:ascii="Arial" w:cs="Arial" w:eastAsia="Arial" w:hAnsi="Arial"/>
                <w:b w:val="false"/>
                <w:bCs w:val="false"/>
                <w:i w:val="false"/>
                <w:iCs w:val="false"/>
                <w:color w:val="555555"/>
                <w:sz w:val="18"/>
                <w:szCs w:val="18"/>
              </w:rPr>
              <w:t xml:space="preserve">5</w:t>
            </w:r>
          </w:p>
        </w:tc>
        <w:tc>
          <w:tcPr>
            <w:tcW w:type="dxa" w:w="3120"/>
            <w:tcBorders>
              <w:top w:val="single" w:color="D0D5DD" w:sz="1"/>
              <w:left w:val="single" w:color="D0D5DD" w:sz="1"/>
              <w:bottom w:val="single" w:color="D0D5DD" w:sz="1"/>
              <w:right w:val="single" w:color="D0D5DD" w:sz="1"/>
            </w:tcBorders>
            <w:shd w:fill="D4E6F1" w:val="clear"/>
            <w:tcMar>
              <w:top w:type="dxa" w:w="85"/>
              <w:left w:type="dxa" w:w="120"/>
              <w:bottom w:type="dxa" w:w="85"/>
              <w:right w:type="dxa" w:w="120"/>
            </w:tcMar>
          </w:tcPr>
          <w:p>
            <w:r>
              <w:rPr>
                <w:rFonts w:ascii="Arial" w:cs="Arial" w:eastAsia="Arial" w:hAnsi="Arial"/>
                <w:b/>
                <w:bCs/>
                <w:color w:val="1A5276"/>
                <w:sz w:val="19"/>
                <w:szCs w:val="19"/>
              </w:rPr>
              <w:t xml:space="preserve">META</w:t>
            </w:r>
          </w:p>
          <w:p>
            <w:r>
              <w:rPr>
                <w:rFonts w:ascii="Arial" w:cs="Arial" w:eastAsia="Arial" w:hAnsi="Arial"/>
                <w:color w:val="555555"/>
                <w:sz w:val="17"/>
                <w:szCs w:val="17"/>
              </w:rPr>
              <w:t xml:space="preserve">Meta Platforms Inc.</w:t>
            </w:r>
          </w:p>
        </w:tc>
        <w:tc>
          <w:tcPr>
            <w:tcW w:type="dxa" w:w="1560"/>
            <w:tcBorders>
              <w:top w:val="single" w:color="D0D5DD" w:sz="1"/>
              <w:left w:val="single" w:color="D0D5DD" w:sz="1"/>
              <w:bottom w:val="single" w:color="D0D5DD" w:sz="1"/>
              <w:right w:val="single" w:color="D0D5DD" w:sz="1"/>
            </w:tcBorders>
            <w:shd w:fill="D4E6F1" w:val="clear"/>
            <w:tcMar>
              <w:top w:type="dxa" w:w="85"/>
              <w:left w:type="dxa" w:w="120"/>
              <w:bottom w:type="dxa" w:w="85"/>
              <w:right w:type="dxa" w:w="120"/>
            </w:tcMar>
          </w:tcPr>
          <w:p>
            <w:pPr>
              <w:jc w:val="left"/>
            </w:pPr>
            <w:r>
              <w:rPr>
                <w:rFonts w:ascii="Arial" w:cs="Arial" w:eastAsia="Arial" w:hAnsi="Arial"/>
                <w:b/>
                <w:bCs/>
                <w:i w:val="false"/>
                <w:iCs w:val="false"/>
                <w:color w:val="1A5276"/>
                <w:sz w:val="17"/>
                <w:szCs w:val="17"/>
              </w:rPr>
              <w:t xml:space="preserve">Technology</w:t>
            </w:r>
          </w:p>
        </w:tc>
        <w:tc>
          <w:tcPr>
            <w:tcW w:type="dxa" w:w="840"/>
            <w:tcBorders>
              <w:top w:val="single" w:color="D0D5DD" w:sz="1"/>
              <w:left w:val="single" w:color="D0D5DD" w:sz="1"/>
              <w:bottom w:val="single" w:color="D0D5DD" w:sz="1"/>
              <w:right w:val="single" w:color="D0D5DD" w:sz="1"/>
            </w:tcBorders>
            <w:shd w:fill="D4E6F1" w:val="clear"/>
            <w:tcMar>
              <w:top w:type="dxa" w:w="85"/>
              <w:left w:type="dxa" w:w="120"/>
              <w:bottom w:type="dxa" w:w="85"/>
              <w:right w:type="dxa" w:w="120"/>
            </w:tcMar>
          </w:tcPr>
          <w:p>
            <w:pPr>
              <w:jc w:val="left"/>
            </w:pPr>
            <w:r>
              <w:rPr>
                <w:rFonts w:ascii="Arial" w:cs="Arial" w:eastAsia="Arial" w:hAnsi="Arial"/>
                <w:b w:val="false"/>
                <w:bCs w:val="false"/>
                <w:i w:val="false"/>
                <w:iCs w:val="false"/>
                <w:color w:val="555555"/>
                <w:sz w:val="17"/>
                <w:szCs w:val="17"/>
              </w:rPr>
              <w:t xml:space="preserve">NASDAQ</w:t>
            </w:r>
          </w:p>
        </w:tc>
        <w:tc>
          <w:tcPr>
            <w:tcW w:type="dxa" w:w="780"/>
            <w:tcBorders>
              <w:top w:val="single" w:color="D0D5DD" w:sz="1"/>
              <w:left w:val="single" w:color="D0D5DD" w:sz="1"/>
              <w:bottom w:val="single" w:color="D0D5DD" w:sz="1"/>
              <w:right w:val="single" w:color="D0D5DD" w:sz="1"/>
            </w:tcBorders>
            <w:shd w:fill="D4E6F1" w:val="clear"/>
            <w:tcMar>
              <w:top w:type="dxa" w:w="85"/>
              <w:left w:type="dxa" w:w="120"/>
              <w:bottom w:type="dxa" w:w="85"/>
              <w:right w:type="dxa" w:w="120"/>
            </w:tcMar>
          </w:tcPr>
          <w:p>
            <w:pPr>
              <w:jc w:val="center"/>
            </w:pPr>
            <w:r>
              <w:rPr>
                <w:rFonts w:ascii="Arial" w:cs="Arial" w:eastAsia="Arial" w:hAnsi="Arial"/>
                <w:b/>
                <w:bCs/>
                <w:i w:val="false"/>
                <w:iCs w:val="false"/>
                <w:color w:val="1B2A4A"/>
                <w:sz w:val="19"/>
                <w:szCs w:val="19"/>
              </w:rPr>
              <w:t xml:space="preserve">4%</w:t>
            </w:r>
          </w:p>
        </w:tc>
        <w:tc>
          <w:tcPr>
            <w:tcW w:type="dxa" w:w="2280"/>
            <w:tcBorders>
              <w:top w:val="single" w:color="D0D5DD" w:sz="1"/>
              <w:left w:val="single" w:color="D0D5DD" w:sz="1"/>
              <w:bottom w:val="single" w:color="D0D5DD" w:sz="1"/>
              <w:right w:val="single" w:color="D0D5DD" w:sz="1"/>
            </w:tcBorders>
            <w:shd w:fill="D4E6F1" w:val="clear"/>
            <w:tcMar>
              <w:top w:type="dxa" w:w="85"/>
              <w:left w:type="dxa" w:w="120"/>
              <w:bottom w:type="dxa" w:w="85"/>
              <w:right w:type="dxa" w:w="120"/>
            </w:tcMar>
          </w:tcPr>
          <w:p>
            <w:pPr>
              <w:jc w:val="left"/>
            </w:pPr>
            <w:r>
              <w:rPr>
                <w:rFonts w:ascii="Arial" w:cs="Arial" w:eastAsia="Arial" w:hAnsi="Arial"/>
                <w:b w:val="false"/>
                <w:bCs w:val="false"/>
                <w:i w:val="false"/>
                <w:iCs w:val="false"/>
                <w:color w:val="555555"/>
                <w:sz w:val="16"/>
                <w:szCs w:val="16"/>
              </w:rPr>
              <w:t xml:space="preserve">Digital advertising leverage; cost-discipline post-2023</w:t>
            </w:r>
          </w:p>
        </w:tc>
      </w:tr>
      <w:tr>
        <w:tc>
          <w:tcPr>
            <w:tcW w:type="dxa" w:w="78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pPr>
              <w:jc w:val="center"/>
            </w:pPr>
            <w:r>
              <w:rPr>
                <w:rFonts w:ascii="Arial" w:cs="Arial" w:eastAsia="Arial" w:hAnsi="Arial"/>
                <w:b w:val="false"/>
                <w:bCs w:val="false"/>
                <w:i w:val="false"/>
                <w:iCs w:val="false"/>
                <w:color w:val="555555"/>
                <w:sz w:val="18"/>
                <w:szCs w:val="18"/>
              </w:rPr>
              <w:t xml:space="preserve">6</w:t>
            </w:r>
          </w:p>
        </w:tc>
        <w:tc>
          <w:tcPr>
            <w:tcW w:type="dxa" w:w="312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r>
              <w:rPr>
                <w:rFonts w:ascii="Arial" w:cs="Arial" w:eastAsia="Arial" w:hAnsi="Arial"/>
                <w:b/>
                <w:bCs/>
                <w:color w:val="1A5276"/>
                <w:sz w:val="19"/>
                <w:szCs w:val="19"/>
              </w:rPr>
              <w:t xml:space="preserve">AVGO</w:t>
            </w:r>
          </w:p>
          <w:p>
            <w:r>
              <w:rPr>
                <w:rFonts w:ascii="Arial" w:cs="Arial" w:eastAsia="Arial" w:hAnsi="Arial"/>
                <w:color w:val="555555"/>
                <w:sz w:val="17"/>
                <w:szCs w:val="17"/>
              </w:rPr>
              <w:t xml:space="preserve">Broadcom Inc.</w:t>
            </w:r>
          </w:p>
        </w:tc>
        <w:tc>
          <w:tcPr>
            <w:tcW w:type="dxa" w:w="156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pPr>
              <w:jc w:val="left"/>
            </w:pPr>
            <w:r>
              <w:rPr>
                <w:rFonts w:ascii="Arial" w:cs="Arial" w:eastAsia="Arial" w:hAnsi="Arial"/>
                <w:b/>
                <w:bCs/>
                <w:i w:val="false"/>
                <w:iCs w:val="false"/>
                <w:color w:val="1A5276"/>
                <w:sz w:val="17"/>
                <w:szCs w:val="17"/>
              </w:rPr>
              <w:t xml:space="preserve">Technology</w:t>
            </w:r>
          </w:p>
        </w:tc>
        <w:tc>
          <w:tcPr>
            <w:tcW w:type="dxa" w:w="84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pPr>
              <w:jc w:val="left"/>
            </w:pPr>
            <w:r>
              <w:rPr>
                <w:rFonts w:ascii="Arial" w:cs="Arial" w:eastAsia="Arial" w:hAnsi="Arial"/>
                <w:b w:val="false"/>
                <w:bCs w:val="false"/>
                <w:i w:val="false"/>
                <w:iCs w:val="false"/>
                <w:color w:val="555555"/>
                <w:sz w:val="17"/>
                <w:szCs w:val="17"/>
              </w:rPr>
              <w:t xml:space="preserve">NASDAQ</w:t>
            </w:r>
          </w:p>
        </w:tc>
        <w:tc>
          <w:tcPr>
            <w:tcW w:type="dxa" w:w="78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pPr>
              <w:jc w:val="center"/>
            </w:pPr>
            <w:r>
              <w:rPr>
                <w:rFonts w:ascii="Arial" w:cs="Arial" w:eastAsia="Arial" w:hAnsi="Arial"/>
                <w:b/>
                <w:bCs/>
                <w:i w:val="false"/>
                <w:iCs w:val="false"/>
                <w:color w:val="1B2A4A"/>
                <w:sz w:val="19"/>
                <w:szCs w:val="19"/>
              </w:rPr>
              <w:t xml:space="preserve">4%</w:t>
            </w:r>
          </w:p>
        </w:tc>
        <w:tc>
          <w:tcPr>
            <w:tcW w:type="dxa" w:w="228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pPr>
              <w:jc w:val="left"/>
            </w:pPr>
            <w:r>
              <w:rPr>
                <w:rFonts w:ascii="Arial" w:cs="Arial" w:eastAsia="Arial" w:hAnsi="Arial"/>
                <w:b w:val="false"/>
                <w:bCs w:val="false"/>
                <w:i w:val="false"/>
                <w:iCs w:val="false"/>
                <w:color w:val="555555"/>
                <w:sz w:val="16"/>
                <w:szCs w:val="16"/>
              </w:rPr>
              <w:t xml:space="preserve">Semiconductor + software mix; strong dividend profile</w:t>
            </w:r>
          </w:p>
        </w:tc>
      </w:tr>
      <w:tr>
        <w:tc>
          <w:tcPr>
            <w:tcW w:type="dxa" w:w="9360"/>
            <w:gridSpan w:val="6"/>
            <w:tcBorders>
              <w:top w:val="single" w:color="D0D5DD" w:sz="1"/>
              <w:left w:val="single" w:color="D0D5DD" w:sz="1"/>
              <w:bottom w:val="single" w:color="D0D5DD" w:sz="1"/>
              <w:right w:val="single" w:color="D0D5DD" w:sz="1"/>
            </w:tcBorders>
            <w:shd w:fill="1A7A6E" w:val="clear"/>
            <w:tcMar>
              <w:top w:type="dxa" w:w="80"/>
              <w:left w:type="dxa" w:w="140"/>
              <w:bottom w:type="dxa" w:w="80"/>
              <w:right w:type="dxa" w:w="140"/>
            </w:tcMar>
          </w:tcPr>
          <w:p>
            <w:r>
              <w:rPr>
                <w:rFonts w:ascii="Arial" w:cs="Arial" w:eastAsia="Arial" w:hAnsi="Arial"/>
                <w:b/>
                <w:bCs/>
                <w:color w:val="FFFFFF"/>
                <w:sz w:val="19"/>
                <w:szCs w:val="19"/>
              </w:rPr>
              <w:t xml:space="preserve">▸  FINANCIALS</w:t>
            </w:r>
          </w:p>
        </w:tc>
      </w:tr>
      <w:tr>
        <w:tc>
          <w:tcPr>
            <w:tcW w:type="dxa" w:w="780"/>
            <w:tcBorders>
              <w:top w:val="single" w:color="D0D5DD" w:sz="1"/>
              <w:left w:val="single" w:color="D0D5DD" w:sz="1"/>
              <w:bottom w:val="single" w:color="D0D5DD" w:sz="1"/>
              <w:right w:val="single" w:color="D0D5DD" w:sz="1"/>
            </w:tcBorders>
            <w:shd w:fill="D4EDE9" w:val="clear"/>
            <w:tcMar>
              <w:top w:type="dxa" w:w="85"/>
              <w:left w:type="dxa" w:w="120"/>
              <w:bottom w:type="dxa" w:w="85"/>
              <w:right w:type="dxa" w:w="120"/>
            </w:tcMar>
          </w:tcPr>
          <w:p>
            <w:pPr>
              <w:jc w:val="center"/>
            </w:pPr>
            <w:r>
              <w:rPr>
                <w:rFonts w:ascii="Arial" w:cs="Arial" w:eastAsia="Arial" w:hAnsi="Arial"/>
                <w:b w:val="false"/>
                <w:bCs w:val="false"/>
                <w:i w:val="false"/>
                <w:iCs w:val="false"/>
                <w:color w:val="555555"/>
                <w:sz w:val="18"/>
                <w:szCs w:val="18"/>
              </w:rPr>
              <w:t xml:space="preserve">7</w:t>
            </w:r>
          </w:p>
        </w:tc>
        <w:tc>
          <w:tcPr>
            <w:tcW w:type="dxa" w:w="3120"/>
            <w:tcBorders>
              <w:top w:val="single" w:color="D0D5DD" w:sz="1"/>
              <w:left w:val="single" w:color="D0D5DD" w:sz="1"/>
              <w:bottom w:val="single" w:color="D0D5DD" w:sz="1"/>
              <w:right w:val="single" w:color="D0D5DD" w:sz="1"/>
            </w:tcBorders>
            <w:shd w:fill="D4EDE9" w:val="clear"/>
            <w:tcMar>
              <w:top w:type="dxa" w:w="85"/>
              <w:left w:type="dxa" w:w="120"/>
              <w:bottom w:type="dxa" w:w="85"/>
              <w:right w:type="dxa" w:w="120"/>
            </w:tcMar>
          </w:tcPr>
          <w:p>
            <w:r>
              <w:rPr>
                <w:rFonts w:ascii="Arial" w:cs="Arial" w:eastAsia="Arial" w:hAnsi="Arial"/>
                <w:b/>
                <w:bCs/>
                <w:color w:val="1A7A6E"/>
                <w:sz w:val="19"/>
                <w:szCs w:val="19"/>
              </w:rPr>
              <w:t xml:space="preserve">JPM</w:t>
            </w:r>
          </w:p>
          <w:p>
            <w:r>
              <w:rPr>
                <w:rFonts w:ascii="Arial" w:cs="Arial" w:eastAsia="Arial" w:hAnsi="Arial"/>
                <w:color w:val="555555"/>
                <w:sz w:val="17"/>
                <w:szCs w:val="17"/>
              </w:rPr>
              <w:t xml:space="preserve">JPMorgan Chase &amp; Co.</w:t>
            </w:r>
          </w:p>
        </w:tc>
        <w:tc>
          <w:tcPr>
            <w:tcW w:type="dxa" w:w="1560"/>
            <w:tcBorders>
              <w:top w:val="single" w:color="D0D5DD" w:sz="1"/>
              <w:left w:val="single" w:color="D0D5DD" w:sz="1"/>
              <w:bottom w:val="single" w:color="D0D5DD" w:sz="1"/>
              <w:right w:val="single" w:color="D0D5DD" w:sz="1"/>
            </w:tcBorders>
            <w:shd w:fill="D4EDE9" w:val="clear"/>
            <w:tcMar>
              <w:top w:type="dxa" w:w="85"/>
              <w:left w:type="dxa" w:w="120"/>
              <w:bottom w:type="dxa" w:w="85"/>
              <w:right w:type="dxa" w:w="120"/>
            </w:tcMar>
          </w:tcPr>
          <w:p>
            <w:pPr>
              <w:jc w:val="left"/>
            </w:pPr>
            <w:r>
              <w:rPr>
                <w:rFonts w:ascii="Arial" w:cs="Arial" w:eastAsia="Arial" w:hAnsi="Arial"/>
                <w:b/>
                <w:bCs/>
                <w:i w:val="false"/>
                <w:iCs w:val="false"/>
                <w:color w:val="1A7A6E"/>
                <w:sz w:val="17"/>
                <w:szCs w:val="17"/>
              </w:rPr>
              <w:t xml:space="preserve">Financials</w:t>
            </w:r>
          </w:p>
        </w:tc>
        <w:tc>
          <w:tcPr>
            <w:tcW w:type="dxa" w:w="840"/>
            <w:tcBorders>
              <w:top w:val="single" w:color="D0D5DD" w:sz="1"/>
              <w:left w:val="single" w:color="D0D5DD" w:sz="1"/>
              <w:bottom w:val="single" w:color="D0D5DD" w:sz="1"/>
              <w:right w:val="single" w:color="D0D5DD" w:sz="1"/>
            </w:tcBorders>
            <w:shd w:fill="D4EDE9" w:val="clear"/>
            <w:tcMar>
              <w:top w:type="dxa" w:w="85"/>
              <w:left w:type="dxa" w:w="120"/>
              <w:bottom w:type="dxa" w:w="85"/>
              <w:right w:type="dxa" w:w="120"/>
            </w:tcMar>
          </w:tcPr>
          <w:p>
            <w:pPr>
              <w:jc w:val="left"/>
            </w:pPr>
            <w:r>
              <w:rPr>
                <w:rFonts w:ascii="Arial" w:cs="Arial" w:eastAsia="Arial" w:hAnsi="Arial"/>
                <w:b w:val="false"/>
                <w:bCs w:val="false"/>
                <w:i w:val="false"/>
                <w:iCs w:val="false"/>
                <w:color w:val="555555"/>
                <w:sz w:val="17"/>
                <w:szCs w:val="17"/>
              </w:rPr>
              <w:t xml:space="preserve">NYSE</w:t>
            </w:r>
          </w:p>
        </w:tc>
        <w:tc>
          <w:tcPr>
            <w:tcW w:type="dxa" w:w="780"/>
            <w:tcBorders>
              <w:top w:val="single" w:color="D0D5DD" w:sz="1"/>
              <w:left w:val="single" w:color="D0D5DD" w:sz="1"/>
              <w:bottom w:val="single" w:color="D0D5DD" w:sz="1"/>
              <w:right w:val="single" w:color="D0D5DD" w:sz="1"/>
            </w:tcBorders>
            <w:shd w:fill="D4EDE9" w:val="clear"/>
            <w:tcMar>
              <w:top w:type="dxa" w:w="85"/>
              <w:left w:type="dxa" w:w="120"/>
              <w:bottom w:type="dxa" w:w="85"/>
              <w:right w:type="dxa" w:w="120"/>
            </w:tcMar>
          </w:tcPr>
          <w:p>
            <w:pPr>
              <w:jc w:val="center"/>
            </w:pPr>
            <w:r>
              <w:rPr>
                <w:rFonts w:ascii="Arial" w:cs="Arial" w:eastAsia="Arial" w:hAnsi="Arial"/>
                <w:b/>
                <w:bCs/>
                <w:i w:val="false"/>
                <w:iCs w:val="false"/>
                <w:color w:val="1B2A4A"/>
                <w:sz w:val="19"/>
                <w:szCs w:val="19"/>
              </w:rPr>
              <w:t xml:space="preserve">5%</w:t>
            </w:r>
          </w:p>
        </w:tc>
        <w:tc>
          <w:tcPr>
            <w:tcW w:type="dxa" w:w="2280"/>
            <w:tcBorders>
              <w:top w:val="single" w:color="D0D5DD" w:sz="1"/>
              <w:left w:val="single" w:color="D0D5DD" w:sz="1"/>
              <w:bottom w:val="single" w:color="D0D5DD" w:sz="1"/>
              <w:right w:val="single" w:color="D0D5DD" w:sz="1"/>
            </w:tcBorders>
            <w:shd w:fill="D4EDE9" w:val="clear"/>
            <w:tcMar>
              <w:top w:type="dxa" w:w="85"/>
              <w:left w:type="dxa" w:w="120"/>
              <w:bottom w:type="dxa" w:w="85"/>
              <w:right w:type="dxa" w:w="120"/>
            </w:tcMar>
          </w:tcPr>
          <w:p>
            <w:pPr>
              <w:jc w:val="left"/>
            </w:pPr>
            <w:r>
              <w:rPr>
                <w:rFonts w:ascii="Arial" w:cs="Arial" w:eastAsia="Arial" w:hAnsi="Arial"/>
                <w:b w:val="false"/>
                <w:bCs w:val="false"/>
                <w:i w:val="false"/>
                <w:iCs w:val="false"/>
                <w:color w:val="555555"/>
                <w:sz w:val="16"/>
                <w:szCs w:val="16"/>
              </w:rPr>
              <w:t xml:space="preserve">Largest US bank; bellwether for credit and rate environment</w:t>
            </w:r>
          </w:p>
        </w:tc>
      </w:tr>
      <w:tr>
        <w:tc>
          <w:tcPr>
            <w:tcW w:type="dxa" w:w="78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pPr>
              <w:jc w:val="center"/>
            </w:pPr>
            <w:r>
              <w:rPr>
                <w:rFonts w:ascii="Arial" w:cs="Arial" w:eastAsia="Arial" w:hAnsi="Arial"/>
                <w:b w:val="false"/>
                <w:bCs w:val="false"/>
                <w:i w:val="false"/>
                <w:iCs w:val="false"/>
                <w:color w:val="555555"/>
                <w:sz w:val="18"/>
                <w:szCs w:val="18"/>
              </w:rPr>
              <w:t xml:space="preserve">8</w:t>
            </w:r>
          </w:p>
        </w:tc>
        <w:tc>
          <w:tcPr>
            <w:tcW w:type="dxa" w:w="312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r>
              <w:rPr>
                <w:rFonts w:ascii="Arial" w:cs="Arial" w:eastAsia="Arial" w:hAnsi="Arial"/>
                <w:b/>
                <w:bCs/>
                <w:color w:val="1A7A6E"/>
                <w:sz w:val="19"/>
                <w:szCs w:val="19"/>
              </w:rPr>
              <w:t xml:space="preserve">RY</w:t>
            </w:r>
          </w:p>
          <w:p>
            <w:r>
              <w:rPr>
                <w:rFonts w:ascii="Arial" w:cs="Arial" w:eastAsia="Arial" w:hAnsi="Arial"/>
                <w:color w:val="555555"/>
                <w:sz w:val="17"/>
                <w:szCs w:val="17"/>
              </w:rPr>
              <w:t xml:space="preserve">Royal Bank of Canada</w:t>
            </w:r>
          </w:p>
        </w:tc>
        <w:tc>
          <w:tcPr>
            <w:tcW w:type="dxa" w:w="156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pPr>
              <w:jc w:val="left"/>
            </w:pPr>
            <w:r>
              <w:rPr>
                <w:rFonts w:ascii="Arial" w:cs="Arial" w:eastAsia="Arial" w:hAnsi="Arial"/>
                <w:b/>
                <w:bCs/>
                <w:i w:val="false"/>
                <w:iCs w:val="false"/>
                <w:color w:val="1A7A6E"/>
                <w:sz w:val="17"/>
                <w:szCs w:val="17"/>
              </w:rPr>
              <w:t xml:space="preserve">Financials</w:t>
            </w:r>
          </w:p>
        </w:tc>
        <w:tc>
          <w:tcPr>
            <w:tcW w:type="dxa" w:w="84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pPr>
              <w:jc w:val="left"/>
            </w:pPr>
            <w:r>
              <w:rPr>
                <w:rFonts w:ascii="Arial" w:cs="Arial" w:eastAsia="Arial" w:hAnsi="Arial"/>
                <w:b w:val="false"/>
                <w:bCs w:val="false"/>
                <w:i w:val="false"/>
                <w:iCs w:val="false"/>
                <w:color w:val="555555"/>
                <w:sz w:val="17"/>
                <w:szCs w:val="17"/>
              </w:rPr>
              <w:t xml:space="preserve">NYSE</w:t>
            </w:r>
          </w:p>
        </w:tc>
        <w:tc>
          <w:tcPr>
            <w:tcW w:type="dxa" w:w="78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pPr>
              <w:jc w:val="center"/>
            </w:pPr>
            <w:r>
              <w:rPr>
                <w:rFonts w:ascii="Arial" w:cs="Arial" w:eastAsia="Arial" w:hAnsi="Arial"/>
                <w:b/>
                <w:bCs/>
                <w:i w:val="false"/>
                <w:iCs w:val="false"/>
                <w:color w:val="1B2A4A"/>
                <w:sz w:val="19"/>
                <w:szCs w:val="19"/>
              </w:rPr>
              <w:t xml:space="preserve">5%</w:t>
            </w:r>
          </w:p>
        </w:tc>
        <w:tc>
          <w:tcPr>
            <w:tcW w:type="dxa" w:w="228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pPr>
              <w:jc w:val="left"/>
            </w:pPr>
            <w:r>
              <w:rPr>
                <w:rFonts w:ascii="Arial" w:cs="Arial" w:eastAsia="Arial" w:hAnsi="Arial"/>
                <w:b w:val="false"/>
                <w:bCs w:val="false"/>
                <w:i w:val="false"/>
                <w:iCs w:val="false"/>
                <w:color w:val="555555"/>
                <w:sz w:val="16"/>
                <w:szCs w:val="16"/>
              </w:rPr>
              <w:t xml:space="preserve">Largest Canadian bank; stable dividend, lower rate sensitivity</w:t>
            </w:r>
          </w:p>
        </w:tc>
      </w:tr>
      <w:tr>
        <w:tc>
          <w:tcPr>
            <w:tcW w:type="dxa" w:w="780"/>
            <w:tcBorders>
              <w:top w:val="single" w:color="D0D5DD" w:sz="1"/>
              <w:left w:val="single" w:color="D0D5DD" w:sz="1"/>
              <w:bottom w:val="single" w:color="D0D5DD" w:sz="1"/>
              <w:right w:val="single" w:color="D0D5DD" w:sz="1"/>
            </w:tcBorders>
            <w:shd w:fill="D4EDE9" w:val="clear"/>
            <w:tcMar>
              <w:top w:type="dxa" w:w="85"/>
              <w:left w:type="dxa" w:w="120"/>
              <w:bottom w:type="dxa" w:w="85"/>
              <w:right w:type="dxa" w:w="120"/>
            </w:tcMar>
          </w:tcPr>
          <w:p>
            <w:pPr>
              <w:jc w:val="center"/>
            </w:pPr>
            <w:r>
              <w:rPr>
                <w:rFonts w:ascii="Arial" w:cs="Arial" w:eastAsia="Arial" w:hAnsi="Arial"/>
                <w:b w:val="false"/>
                <w:bCs w:val="false"/>
                <w:i w:val="false"/>
                <w:iCs w:val="false"/>
                <w:color w:val="555555"/>
                <w:sz w:val="18"/>
                <w:szCs w:val="18"/>
              </w:rPr>
              <w:t xml:space="preserve">9</w:t>
            </w:r>
          </w:p>
        </w:tc>
        <w:tc>
          <w:tcPr>
            <w:tcW w:type="dxa" w:w="3120"/>
            <w:tcBorders>
              <w:top w:val="single" w:color="D0D5DD" w:sz="1"/>
              <w:left w:val="single" w:color="D0D5DD" w:sz="1"/>
              <w:bottom w:val="single" w:color="D0D5DD" w:sz="1"/>
              <w:right w:val="single" w:color="D0D5DD" w:sz="1"/>
            </w:tcBorders>
            <w:shd w:fill="D4EDE9" w:val="clear"/>
            <w:tcMar>
              <w:top w:type="dxa" w:w="85"/>
              <w:left w:type="dxa" w:w="120"/>
              <w:bottom w:type="dxa" w:w="85"/>
              <w:right w:type="dxa" w:w="120"/>
            </w:tcMar>
          </w:tcPr>
          <w:p>
            <w:r>
              <w:rPr>
                <w:rFonts w:ascii="Arial" w:cs="Arial" w:eastAsia="Arial" w:hAnsi="Arial"/>
                <w:b/>
                <w:bCs/>
                <w:color w:val="1A7A6E"/>
                <w:sz w:val="19"/>
                <w:szCs w:val="19"/>
              </w:rPr>
              <w:t xml:space="preserve">BAC</w:t>
            </w:r>
          </w:p>
          <w:p>
            <w:r>
              <w:rPr>
                <w:rFonts w:ascii="Arial" w:cs="Arial" w:eastAsia="Arial" w:hAnsi="Arial"/>
                <w:color w:val="555555"/>
                <w:sz w:val="17"/>
                <w:szCs w:val="17"/>
              </w:rPr>
              <w:t xml:space="preserve">Bank of America Corp.</w:t>
            </w:r>
          </w:p>
        </w:tc>
        <w:tc>
          <w:tcPr>
            <w:tcW w:type="dxa" w:w="1560"/>
            <w:tcBorders>
              <w:top w:val="single" w:color="D0D5DD" w:sz="1"/>
              <w:left w:val="single" w:color="D0D5DD" w:sz="1"/>
              <w:bottom w:val="single" w:color="D0D5DD" w:sz="1"/>
              <w:right w:val="single" w:color="D0D5DD" w:sz="1"/>
            </w:tcBorders>
            <w:shd w:fill="D4EDE9" w:val="clear"/>
            <w:tcMar>
              <w:top w:type="dxa" w:w="85"/>
              <w:left w:type="dxa" w:w="120"/>
              <w:bottom w:type="dxa" w:w="85"/>
              <w:right w:type="dxa" w:w="120"/>
            </w:tcMar>
          </w:tcPr>
          <w:p>
            <w:pPr>
              <w:jc w:val="left"/>
            </w:pPr>
            <w:r>
              <w:rPr>
                <w:rFonts w:ascii="Arial" w:cs="Arial" w:eastAsia="Arial" w:hAnsi="Arial"/>
                <w:b/>
                <w:bCs/>
                <w:i w:val="false"/>
                <w:iCs w:val="false"/>
                <w:color w:val="1A7A6E"/>
                <w:sz w:val="17"/>
                <w:szCs w:val="17"/>
              </w:rPr>
              <w:t xml:space="preserve">Financials</w:t>
            </w:r>
          </w:p>
        </w:tc>
        <w:tc>
          <w:tcPr>
            <w:tcW w:type="dxa" w:w="840"/>
            <w:tcBorders>
              <w:top w:val="single" w:color="D0D5DD" w:sz="1"/>
              <w:left w:val="single" w:color="D0D5DD" w:sz="1"/>
              <w:bottom w:val="single" w:color="D0D5DD" w:sz="1"/>
              <w:right w:val="single" w:color="D0D5DD" w:sz="1"/>
            </w:tcBorders>
            <w:shd w:fill="D4EDE9" w:val="clear"/>
            <w:tcMar>
              <w:top w:type="dxa" w:w="85"/>
              <w:left w:type="dxa" w:w="120"/>
              <w:bottom w:type="dxa" w:w="85"/>
              <w:right w:type="dxa" w:w="120"/>
            </w:tcMar>
          </w:tcPr>
          <w:p>
            <w:pPr>
              <w:jc w:val="left"/>
            </w:pPr>
            <w:r>
              <w:rPr>
                <w:rFonts w:ascii="Arial" w:cs="Arial" w:eastAsia="Arial" w:hAnsi="Arial"/>
                <w:b w:val="false"/>
                <w:bCs w:val="false"/>
                <w:i w:val="false"/>
                <w:iCs w:val="false"/>
                <w:color w:val="555555"/>
                <w:sz w:val="17"/>
                <w:szCs w:val="17"/>
              </w:rPr>
              <w:t xml:space="preserve">NYSE</w:t>
            </w:r>
          </w:p>
        </w:tc>
        <w:tc>
          <w:tcPr>
            <w:tcW w:type="dxa" w:w="780"/>
            <w:tcBorders>
              <w:top w:val="single" w:color="D0D5DD" w:sz="1"/>
              <w:left w:val="single" w:color="D0D5DD" w:sz="1"/>
              <w:bottom w:val="single" w:color="D0D5DD" w:sz="1"/>
              <w:right w:val="single" w:color="D0D5DD" w:sz="1"/>
            </w:tcBorders>
            <w:shd w:fill="D4EDE9" w:val="clear"/>
            <w:tcMar>
              <w:top w:type="dxa" w:w="85"/>
              <w:left w:type="dxa" w:w="120"/>
              <w:bottom w:type="dxa" w:w="85"/>
              <w:right w:type="dxa" w:w="120"/>
            </w:tcMar>
          </w:tcPr>
          <w:p>
            <w:pPr>
              <w:jc w:val="center"/>
            </w:pPr>
            <w:r>
              <w:rPr>
                <w:rFonts w:ascii="Arial" w:cs="Arial" w:eastAsia="Arial" w:hAnsi="Arial"/>
                <w:b/>
                <w:bCs/>
                <w:i w:val="false"/>
                <w:iCs w:val="false"/>
                <w:color w:val="1B2A4A"/>
                <w:sz w:val="19"/>
                <w:szCs w:val="19"/>
              </w:rPr>
              <w:t xml:space="preserve">4%</w:t>
            </w:r>
          </w:p>
        </w:tc>
        <w:tc>
          <w:tcPr>
            <w:tcW w:type="dxa" w:w="2280"/>
            <w:tcBorders>
              <w:top w:val="single" w:color="D0D5DD" w:sz="1"/>
              <w:left w:val="single" w:color="D0D5DD" w:sz="1"/>
              <w:bottom w:val="single" w:color="D0D5DD" w:sz="1"/>
              <w:right w:val="single" w:color="D0D5DD" w:sz="1"/>
            </w:tcBorders>
            <w:shd w:fill="D4EDE9" w:val="clear"/>
            <w:tcMar>
              <w:top w:type="dxa" w:w="85"/>
              <w:left w:type="dxa" w:w="120"/>
              <w:bottom w:type="dxa" w:w="85"/>
              <w:right w:type="dxa" w:w="120"/>
            </w:tcMar>
          </w:tcPr>
          <w:p>
            <w:pPr>
              <w:jc w:val="left"/>
            </w:pPr>
            <w:r>
              <w:rPr>
                <w:rFonts w:ascii="Arial" w:cs="Arial" w:eastAsia="Arial" w:hAnsi="Arial"/>
                <w:b w:val="false"/>
                <w:bCs w:val="false"/>
                <w:i w:val="false"/>
                <w:iCs w:val="false"/>
                <w:color w:val="555555"/>
                <w:sz w:val="16"/>
                <w:szCs w:val="16"/>
              </w:rPr>
              <w:t xml:space="preserve">High rate sensitivity; proxy for US consumer health</w:t>
            </w:r>
          </w:p>
        </w:tc>
      </w:tr>
      <w:tr>
        <w:tc>
          <w:tcPr>
            <w:tcW w:type="dxa" w:w="78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pPr>
              <w:jc w:val="center"/>
            </w:pPr>
            <w:r>
              <w:rPr>
                <w:rFonts w:ascii="Arial" w:cs="Arial" w:eastAsia="Arial" w:hAnsi="Arial"/>
                <w:b w:val="false"/>
                <w:bCs w:val="false"/>
                <w:i w:val="false"/>
                <w:iCs w:val="false"/>
                <w:color w:val="555555"/>
                <w:sz w:val="18"/>
                <w:szCs w:val="18"/>
              </w:rPr>
              <w:t xml:space="preserve">10</w:t>
            </w:r>
          </w:p>
        </w:tc>
        <w:tc>
          <w:tcPr>
            <w:tcW w:type="dxa" w:w="312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r>
              <w:rPr>
                <w:rFonts w:ascii="Arial" w:cs="Arial" w:eastAsia="Arial" w:hAnsi="Arial"/>
                <w:b/>
                <w:bCs/>
                <w:color w:val="1A7A6E"/>
                <w:sz w:val="19"/>
                <w:szCs w:val="19"/>
              </w:rPr>
              <w:t xml:space="preserve">TD</w:t>
            </w:r>
          </w:p>
          <w:p>
            <w:r>
              <w:rPr>
                <w:rFonts w:ascii="Arial" w:cs="Arial" w:eastAsia="Arial" w:hAnsi="Arial"/>
                <w:color w:val="555555"/>
                <w:sz w:val="17"/>
                <w:szCs w:val="17"/>
              </w:rPr>
              <w:t xml:space="preserve">Toronto-Dominion Bank</w:t>
            </w:r>
          </w:p>
        </w:tc>
        <w:tc>
          <w:tcPr>
            <w:tcW w:type="dxa" w:w="156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pPr>
              <w:jc w:val="left"/>
            </w:pPr>
            <w:r>
              <w:rPr>
                <w:rFonts w:ascii="Arial" w:cs="Arial" w:eastAsia="Arial" w:hAnsi="Arial"/>
                <w:b/>
                <w:bCs/>
                <w:i w:val="false"/>
                <w:iCs w:val="false"/>
                <w:color w:val="1A7A6E"/>
                <w:sz w:val="17"/>
                <w:szCs w:val="17"/>
              </w:rPr>
              <w:t xml:space="preserve">Financials</w:t>
            </w:r>
          </w:p>
        </w:tc>
        <w:tc>
          <w:tcPr>
            <w:tcW w:type="dxa" w:w="84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pPr>
              <w:jc w:val="left"/>
            </w:pPr>
            <w:r>
              <w:rPr>
                <w:rFonts w:ascii="Arial" w:cs="Arial" w:eastAsia="Arial" w:hAnsi="Arial"/>
                <w:b w:val="false"/>
                <w:bCs w:val="false"/>
                <w:i w:val="false"/>
                <w:iCs w:val="false"/>
                <w:color w:val="555555"/>
                <w:sz w:val="17"/>
                <w:szCs w:val="17"/>
              </w:rPr>
              <w:t xml:space="preserve">NYSE</w:t>
            </w:r>
          </w:p>
        </w:tc>
        <w:tc>
          <w:tcPr>
            <w:tcW w:type="dxa" w:w="78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pPr>
              <w:jc w:val="center"/>
            </w:pPr>
            <w:r>
              <w:rPr>
                <w:rFonts w:ascii="Arial" w:cs="Arial" w:eastAsia="Arial" w:hAnsi="Arial"/>
                <w:b/>
                <w:bCs/>
                <w:i w:val="false"/>
                <w:iCs w:val="false"/>
                <w:color w:val="1B2A4A"/>
                <w:sz w:val="19"/>
                <w:szCs w:val="19"/>
              </w:rPr>
              <w:t xml:space="preserve">4%</w:t>
            </w:r>
          </w:p>
        </w:tc>
        <w:tc>
          <w:tcPr>
            <w:tcW w:type="dxa" w:w="228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pPr>
              <w:jc w:val="left"/>
            </w:pPr>
            <w:r>
              <w:rPr>
                <w:rFonts w:ascii="Arial" w:cs="Arial" w:eastAsia="Arial" w:hAnsi="Arial"/>
                <w:b w:val="false"/>
                <w:bCs w:val="false"/>
                <w:i w:val="false"/>
                <w:iCs w:val="false"/>
                <w:color w:val="555555"/>
                <w:sz w:val="16"/>
                <w:szCs w:val="16"/>
              </w:rPr>
              <w:t xml:space="preserve">Cross-border US/Canada exposure; conservative balance sheet</w:t>
            </w:r>
          </w:p>
        </w:tc>
      </w:tr>
      <w:tr>
        <w:tc>
          <w:tcPr>
            <w:tcW w:type="dxa" w:w="780"/>
            <w:tcBorders>
              <w:top w:val="single" w:color="D0D5DD" w:sz="1"/>
              <w:left w:val="single" w:color="D0D5DD" w:sz="1"/>
              <w:bottom w:val="single" w:color="D0D5DD" w:sz="1"/>
              <w:right w:val="single" w:color="D0D5DD" w:sz="1"/>
            </w:tcBorders>
            <w:shd w:fill="D4EDE9" w:val="clear"/>
            <w:tcMar>
              <w:top w:type="dxa" w:w="85"/>
              <w:left w:type="dxa" w:w="120"/>
              <w:bottom w:type="dxa" w:w="85"/>
              <w:right w:type="dxa" w:w="120"/>
            </w:tcMar>
          </w:tcPr>
          <w:p>
            <w:pPr>
              <w:jc w:val="center"/>
            </w:pPr>
            <w:r>
              <w:rPr>
                <w:rFonts w:ascii="Arial" w:cs="Arial" w:eastAsia="Arial" w:hAnsi="Arial"/>
                <w:b w:val="false"/>
                <w:bCs w:val="false"/>
                <w:i w:val="false"/>
                <w:iCs w:val="false"/>
                <w:color w:val="555555"/>
                <w:sz w:val="18"/>
                <w:szCs w:val="18"/>
              </w:rPr>
              <w:t xml:space="preserve">11</w:t>
            </w:r>
          </w:p>
        </w:tc>
        <w:tc>
          <w:tcPr>
            <w:tcW w:type="dxa" w:w="3120"/>
            <w:tcBorders>
              <w:top w:val="single" w:color="D0D5DD" w:sz="1"/>
              <w:left w:val="single" w:color="D0D5DD" w:sz="1"/>
              <w:bottom w:val="single" w:color="D0D5DD" w:sz="1"/>
              <w:right w:val="single" w:color="D0D5DD" w:sz="1"/>
            </w:tcBorders>
            <w:shd w:fill="D4EDE9" w:val="clear"/>
            <w:tcMar>
              <w:top w:type="dxa" w:w="85"/>
              <w:left w:type="dxa" w:w="120"/>
              <w:bottom w:type="dxa" w:w="85"/>
              <w:right w:type="dxa" w:w="120"/>
            </w:tcMar>
          </w:tcPr>
          <w:p>
            <w:r>
              <w:rPr>
                <w:rFonts w:ascii="Arial" w:cs="Arial" w:eastAsia="Arial" w:hAnsi="Arial"/>
                <w:b/>
                <w:bCs/>
                <w:color w:val="1A7A6E"/>
                <w:sz w:val="19"/>
                <w:szCs w:val="19"/>
              </w:rPr>
              <w:t xml:space="preserve">GS</w:t>
            </w:r>
          </w:p>
          <w:p>
            <w:r>
              <w:rPr>
                <w:rFonts w:ascii="Arial" w:cs="Arial" w:eastAsia="Arial" w:hAnsi="Arial"/>
                <w:color w:val="555555"/>
                <w:sz w:val="17"/>
                <w:szCs w:val="17"/>
              </w:rPr>
              <w:t xml:space="preserve">Goldman Sachs Group Inc.</w:t>
            </w:r>
          </w:p>
        </w:tc>
        <w:tc>
          <w:tcPr>
            <w:tcW w:type="dxa" w:w="1560"/>
            <w:tcBorders>
              <w:top w:val="single" w:color="D0D5DD" w:sz="1"/>
              <w:left w:val="single" w:color="D0D5DD" w:sz="1"/>
              <w:bottom w:val="single" w:color="D0D5DD" w:sz="1"/>
              <w:right w:val="single" w:color="D0D5DD" w:sz="1"/>
            </w:tcBorders>
            <w:shd w:fill="D4EDE9" w:val="clear"/>
            <w:tcMar>
              <w:top w:type="dxa" w:w="85"/>
              <w:left w:type="dxa" w:w="120"/>
              <w:bottom w:type="dxa" w:w="85"/>
              <w:right w:type="dxa" w:w="120"/>
            </w:tcMar>
          </w:tcPr>
          <w:p>
            <w:pPr>
              <w:jc w:val="left"/>
            </w:pPr>
            <w:r>
              <w:rPr>
                <w:rFonts w:ascii="Arial" w:cs="Arial" w:eastAsia="Arial" w:hAnsi="Arial"/>
                <w:b/>
                <w:bCs/>
                <w:i w:val="false"/>
                <w:iCs w:val="false"/>
                <w:color w:val="1A7A6E"/>
                <w:sz w:val="17"/>
                <w:szCs w:val="17"/>
              </w:rPr>
              <w:t xml:space="preserve">Financials</w:t>
            </w:r>
          </w:p>
        </w:tc>
        <w:tc>
          <w:tcPr>
            <w:tcW w:type="dxa" w:w="840"/>
            <w:tcBorders>
              <w:top w:val="single" w:color="D0D5DD" w:sz="1"/>
              <w:left w:val="single" w:color="D0D5DD" w:sz="1"/>
              <w:bottom w:val="single" w:color="D0D5DD" w:sz="1"/>
              <w:right w:val="single" w:color="D0D5DD" w:sz="1"/>
            </w:tcBorders>
            <w:shd w:fill="D4EDE9" w:val="clear"/>
            <w:tcMar>
              <w:top w:type="dxa" w:w="85"/>
              <w:left w:type="dxa" w:w="120"/>
              <w:bottom w:type="dxa" w:w="85"/>
              <w:right w:type="dxa" w:w="120"/>
            </w:tcMar>
          </w:tcPr>
          <w:p>
            <w:pPr>
              <w:jc w:val="left"/>
            </w:pPr>
            <w:r>
              <w:rPr>
                <w:rFonts w:ascii="Arial" w:cs="Arial" w:eastAsia="Arial" w:hAnsi="Arial"/>
                <w:b w:val="false"/>
                <w:bCs w:val="false"/>
                <w:i w:val="false"/>
                <w:iCs w:val="false"/>
                <w:color w:val="555555"/>
                <w:sz w:val="17"/>
                <w:szCs w:val="17"/>
              </w:rPr>
              <w:t xml:space="preserve">NYSE</w:t>
            </w:r>
          </w:p>
        </w:tc>
        <w:tc>
          <w:tcPr>
            <w:tcW w:type="dxa" w:w="780"/>
            <w:tcBorders>
              <w:top w:val="single" w:color="D0D5DD" w:sz="1"/>
              <w:left w:val="single" w:color="D0D5DD" w:sz="1"/>
              <w:bottom w:val="single" w:color="D0D5DD" w:sz="1"/>
              <w:right w:val="single" w:color="D0D5DD" w:sz="1"/>
            </w:tcBorders>
            <w:shd w:fill="D4EDE9" w:val="clear"/>
            <w:tcMar>
              <w:top w:type="dxa" w:w="85"/>
              <w:left w:type="dxa" w:w="120"/>
              <w:bottom w:type="dxa" w:w="85"/>
              <w:right w:type="dxa" w:w="120"/>
            </w:tcMar>
          </w:tcPr>
          <w:p>
            <w:pPr>
              <w:jc w:val="center"/>
            </w:pPr>
            <w:r>
              <w:rPr>
                <w:rFonts w:ascii="Arial" w:cs="Arial" w:eastAsia="Arial" w:hAnsi="Arial"/>
                <w:b/>
                <w:bCs/>
                <w:i w:val="false"/>
                <w:iCs w:val="false"/>
                <w:color w:val="1B2A4A"/>
                <w:sz w:val="19"/>
                <w:szCs w:val="19"/>
              </w:rPr>
              <w:t xml:space="preserve">4%</w:t>
            </w:r>
          </w:p>
        </w:tc>
        <w:tc>
          <w:tcPr>
            <w:tcW w:type="dxa" w:w="2280"/>
            <w:tcBorders>
              <w:top w:val="single" w:color="D0D5DD" w:sz="1"/>
              <w:left w:val="single" w:color="D0D5DD" w:sz="1"/>
              <w:bottom w:val="single" w:color="D0D5DD" w:sz="1"/>
              <w:right w:val="single" w:color="D0D5DD" w:sz="1"/>
            </w:tcBorders>
            <w:shd w:fill="D4EDE9" w:val="clear"/>
            <w:tcMar>
              <w:top w:type="dxa" w:w="85"/>
              <w:left w:type="dxa" w:w="120"/>
              <w:bottom w:type="dxa" w:w="85"/>
              <w:right w:type="dxa" w:w="120"/>
            </w:tcMar>
          </w:tcPr>
          <w:p>
            <w:pPr>
              <w:jc w:val="left"/>
            </w:pPr>
            <w:r>
              <w:rPr>
                <w:rFonts w:ascii="Arial" w:cs="Arial" w:eastAsia="Arial" w:hAnsi="Arial"/>
                <w:b w:val="false"/>
                <w:bCs w:val="false"/>
                <w:i w:val="false"/>
                <w:iCs w:val="false"/>
                <w:color w:val="555555"/>
                <w:sz w:val="16"/>
                <w:szCs w:val="16"/>
              </w:rPr>
              <w:t xml:space="preserve">Capital markets leader; high earnings cyclicality</w:t>
            </w:r>
          </w:p>
        </w:tc>
      </w:tr>
      <w:tr>
        <w:tc>
          <w:tcPr>
            <w:tcW w:type="dxa" w:w="78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pPr>
              <w:jc w:val="center"/>
            </w:pPr>
            <w:r>
              <w:rPr>
                <w:rFonts w:ascii="Arial" w:cs="Arial" w:eastAsia="Arial" w:hAnsi="Arial"/>
                <w:b w:val="false"/>
                <w:bCs w:val="false"/>
                <w:i w:val="false"/>
                <w:iCs w:val="false"/>
                <w:color w:val="555555"/>
                <w:sz w:val="18"/>
                <w:szCs w:val="18"/>
              </w:rPr>
              <w:t xml:space="preserve">12</w:t>
            </w:r>
          </w:p>
        </w:tc>
        <w:tc>
          <w:tcPr>
            <w:tcW w:type="dxa" w:w="312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r>
              <w:rPr>
                <w:rFonts w:ascii="Arial" w:cs="Arial" w:eastAsia="Arial" w:hAnsi="Arial"/>
                <w:b/>
                <w:bCs/>
                <w:color w:val="1A7A6E"/>
                <w:sz w:val="19"/>
                <w:szCs w:val="19"/>
              </w:rPr>
              <w:t xml:space="preserve">BLK</w:t>
            </w:r>
          </w:p>
          <w:p>
            <w:r>
              <w:rPr>
                <w:rFonts w:ascii="Arial" w:cs="Arial" w:eastAsia="Arial" w:hAnsi="Arial"/>
                <w:color w:val="555555"/>
                <w:sz w:val="17"/>
                <w:szCs w:val="17"/>
              </w:rPr>
              <w:t xml:space="preserve">BlackRock Inc.</w:t>
            </w:r>
          </w:p>
        </w:tc>
        <w:tc>
          <w:tcPr>
            <w:tcW w:type="dxa" w:w="156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pPr>
              <w:jc w:val="left"/>
            </w:pPr>
            <w:r>
              <w:rPr>
                <w:rFonts w:ascii="Arial" w:cs="Arial" w:eastAsia="Arial" w:hAnsi="Arial"/>
                <w:b/>
                <w:bCs/>
                <w:i w:val="false"/>
                <w:iCs w:val="false"/>
                <w:color w:val="1A7A6E"/>
                <w:sz w:val="17"/>
                <w:szCs w:val="17"/>
              </w:rPr>
              <w:t xml:space="preserve">Financials</w:t>
            </w:r>
          </w:p>
        </w:tc>
        <w:tc>
          <w:tcPr>
            <w:tcW w:type="dxa" w:w="84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pPr>
              <w:jc w:val="left"/>
            </w:pPr>
            <w:r>
              <w:rPr>
                <w:rFonts w:ascii="Arial" w:cs="Arial" w:eastAsia="Arial" w:hAnsi="Arial"/>
                <w:b w:val="false"/>
                <w:bCs w:val="false"/>
                <w:i w:val="false"/>
                <w:iCs w:val="false"/>
                <w:color w:val="555555"/>
                <w:sz w:val="17"/>
                <w:szCs w:val="17"/>
              </w:rPr>
              <w:t xml:space="preserve">NYSE</w:t>
            </w:r>
          </w:p>
        </w:tc>
        <w:tc>
          <w:tcPr>
            <w:tcW w:type="dxa" w:w="78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pPr>
              <w:jc w:val="center"/>
            </w:pPr>
            <w:r>
              <w:rPr>
                <w:rFonts w:ascii="Arial" w:cs="Arial" w:eastAsia="Arial" w:hAnsi="Arial"/>
                <w:b/>
                <w:bCs/>
                <w:i w:val="false"/>
                <w:iCs w:val="false"/>
                <w:color w:val="1B2A4A"/>
                <w:sz w:val="19"/>
                <w:szCs w:val="19"/>
              </w:rPr>
              <w:t xml:space="preserve">3%</w:t>
            </w:r>
          </w:p>
        </w:tc>
        <w:tc>
          <w:tcPr>
            <w:tcW w:type="dxa" w:w="228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pPr>
              <w:jc w:val="left"/>
            </w:pPr>
            <w:r>
              <w:rPr>
                <w:rFonts w:ascii="Arial" w:cs="Arial" w:eastAsia="Arial" w:hAnsi="Arial"/>
                <w:b w:val="false"/>
                <w:bCs w:val="false"/>
                <w:i w:val="false"/>
                <w:iCs w:val="false"/>
                <w:color w:val="555555"/>
                <w:sz w:val="16"/>
                <w:szCs w:val="16"/>
              </w:rPr>
              <w:t xml:space="preserve">Asset management giant; AUM-driven fee income, lower credit risk</w:t>
            </w:r>
          </w:p>
        </w:tc>
      </w:tr>
      <w:tr>
        <w:tc>
          <w:tcPr>
            <w:tcW w:type="dxa" w:w="9360"/>
            <w:gridSpan w:val="6"/>
            <w:tcBorders>
              <w:top w:val="single" w:color="D0D5DD" w:sz="1"/>
              <w:left w:val="single" w:color="D0D5DD" w:sz="1"/>
              <w:bottom w:val="single" w:color="D0D5DD" w:sz="1"/>
              <w:right w:val="single" w:color="D0D5DD" w:sz="1"/>
            </w:tcBorders>
            <w:shd w:fill="1E6B3C" w:val="clear"/>
            <w:tcMar>
              <w:top w:type="dxa" w:w="80"/>
              <w:left w:type="dxa" w:w="140"/>
              <w:bottom w:type="dxa" w:w="80"/>
              <w:right w:type="dxa" w:w="140"/>
            </w:tcMar>
          </w:tcPr>
          <w:p>
            <w:r>
              <w:rPr>
                <w:rFonts w:ascii="Arial" w:cs="Arial" w:eastAsia="Arial" w:hAnsi="Arial"/>
                <w:b/>
                <w:bCs/>
                <w:color w:val="FFFFFF"/>
                <w:sz w:val="19"/>
                <w:szCs w:val="19"/>
              </w:rPr>
              <w:t xml:space="preserve">▸  HEALTHCARE</w:t>
            </w:r>
          </w:p>
        </w:tc>
      </w:tr>
      <w:tr>
        <w:tc>
          <w:tcPr>
            <w:tcW w:type="dxa" w:w="780"/>
            <w:tcBorders>
              <w:top w:val="single" w:color="D0D5DD" w:sz="1"/>
              <w:left w:val="single" w:color="D0D5DD" w:sz="1"/>
              <w:bottom w:val="single" w:color="D0D5DD" w:sz="1"/>
              <w:right w:val="single" w:color="D0D5DD" w:sz="1"/>
            </w:tcBorders>
            <w:shd w:fill="D6EFE0" w:val="clear"/>
            <w:tcMar>
              <w:top w:type="dxa" w:w="85"/>
              <w:left w:type="dxa" w:w="120"/>
              <w:bottom w:type="dxa" w:w="85"/>
              <w:right w:type="dxa" w:w="120"/>
            </w:tcMar>
          </w:tcPr>
          <w:p>
            <w:pPr>
              <w:jc w:val="center"/>
            </w:pPr>
            <w:r>
              <w:rPr>
                <w:rFonts w:ascii="Arial" w:cs="Arial" w:eastAsia="Arial" w:hAnsi="Arial"/>
                <w:b w:val="false"/>
                <w:bCs w:val="false"/>
                <w:i w:val="false"/>
                <w:iCs w:val="false"/>
                <w:color w:val="555555"/>
                <w:sz w:val="18"/>
                <w:szCs w:val="18"/>
              </w:rPr>
              <w:t xml:space="preserve">13</w:t>
            </w:r>
          </w:p>
        </w:tc>
        <w:tc>
          <w:tcPr>
            <w:tcW w:type="dxa" w:w="3120"/>
            <w:tcBorders>
              <w:top w:val="single" w:color="D0D5DD" w:sz="1"/>
              <w:left w:val="single" w:color="D0D5DD" w:sz="1"/>
              <w:bottom w:val="single" w:color="D0D5DD" w:sz="1"/>
              <w:right w:val="single" w:color="D0D5DD" w:sz="1"/>
            </w:tcBorders>
            <w:shd w:fill="D6EFE0" w:val="clear"/>
            <w:tcMar>
              <w:top w:type="dxa" w:w="85"/>
              <w:left w:type="dxa" w:w="120"/>
              <w:bottom w:type="dxa" w:w="85"/>
              <w:right w:type="dxa" w:w="120"/>
            </w:tcMar>
          </w:tcPr>
          <w:p>
            <w:r>
              <w:rPr>
                <w:rFonts w:ascii="Arial" w:cs="Arial" w:eastAsia="Arial" w:hAnsi="Arial"/>
                <w:b/>
                <w:bCs/>
                <w:color w:val="1E6B3C"/>
                <w:sz w:val="19"/>
                <w:szCs w:val="19"/>
              </w:rPr>
              <w:t xml:space="preserve">UNH</w:t>
            </w:r>
          </w:p>
          <w:p>
            <w:r>
              <w:rPr>
                <w:rFonts w:ascii="Arial" w:cs="Arial" w:eastAsia="Arial" w:hAnsi="Arial"/>
                <w:color w:val="555555"/>
                <w:sz w:val="17"/>
                <w:szCs w:val="17"/>
              </w:rPr>
              <w:t xml:space="preserve">UnitedHealth Group Inc.</w:t>
            </w:r>
          </w:p>
        </w:tc>
        <w:tc>
          <w:tcPr>
            <w:tcW w:type="dxa" w:w="1560"/>
            <w:tcBorders>
              <w:top w:val="single" w:color="D0D5DD" w:sz="1"/>
              <w:left w:val="single" w:color="D0D5DD" w:sz="1"/>
              <w:bottom w:val="single" w:color="D0D5DD" w:sz="1"/>
              <w:right w:val="single" w:color="D0D5DD" w:sz="1"/>
            </w:tcBorders>
            <w:shd w:fill="D6EFE0" w:val="clear"/>
            <w:tcMar>
              <w:top w:type="dxa" w:w="85"/>
              <w:left w:type="dxa" w:w="120"/>
              <w:bottom w:type="dxa" w:w="85"/>
              <w:right w:type="dxa" w:w="120"/>
            </w:tcMar>
          </w:tcPr>
          <w:p>
            <w:pPr>
              <w:jc w:val="left"/>
            </w:pPr>
            <w:r>
              <w:rPr>
                <w:rFonts w:ascii="Arial" w:cs="Arial" w:eastAsia="Arial" w:hAnsi="Arial"/>
                <w:b/>
                <w:bCs/>
                <w:i w:val="false"/>
                <w:iCs w:val="false"/>
                <w:color w:val="1E6B3C"/>
                <w:sz w:val="17"/>
                <w:szCs w:val="17"/>
              </w:rPr>
              <w:t xml:space="preserve">Healthcare</w:t>
            </w:r>
          </w:p>
        </w:tc>
        <w:tc>
          <w:tcPr>
            <w:tcW w:type="dxa" w:w="840"/>
            <w:tcBorders>
              <w:top w:val="single" w:color="D0D5DD" w:sz="1"/>
              <w:left w:val="single" w:color="D0D5DD" w:sz="1"/>
              <w:bottom w:val="single" w:color="D0D5DD" w:sz="1"/>
              <w:right w:val="single" w:color="D0D5DD" w:sz="1"/>
            </w:tcBorders>
            <w:shd w:fill="D6EFE0" w:val="clear"/>
            <w:tcMar>
              <w:top w:type="dxa" w:w="85"/>
              <w:left w:type="dxa" w:w="120"/>
              <w:bottom w:type="dxa" w:w="85"/>
              <w:right w:type="dxa" w:w="120"/>
            </w:tcMar>
          </w:tcPr>
          <w:p>
            <w:pPr>
              <w:jc w:val="left"/>
            </w:pPr>
            <w:r>
              <w:rPr>
                <w:rFonts w:ascii="Arial" w:cs="Arial" w:eastAsia="Arial" w:hAnsi="Arial"/>
                <w:b w:val="false"/>
                <w:bCs w:val="false"/>
                <w:i w:val="false"/>
                <w:iCs w:val="false"/>
                <w:color w:val="555555"/>
                <w:sz w:val="17"/>
                <w:szCs w:val="17"/>
              </w:rPr>
              <w:t xml:space="preserve">NYSE</w:t>
            </w:r>
          </w:p>
        </w:tc>
        <w:tc>
          <w:tcPr>
            <w:tcW w:type="dxa" w:w="780"/>
            <w:tcBorders>
              <w:top w:val="single" w:color="D0D5DD" w:sz="1"/>
              <w:left w:val="single" w:color="D0D5DD" w:sz="1"/>
              <w:bottom w:val="single" w:color="D0D5DD" w:sz="1"/>
              <w:right w:val="single" w:color="D0D5DD" w:sz="1"/>
            </w:tcBorders>
            <w:shd w:fill="D6EFE0" w:val="clear"/>
            <w:tcMar>
              <w:top w:type="dxa" w:w="85"/>
              <w:left w:type="dxa" w:w="120"/>
              <w:bottom w:type="dxa" w:w="85"/>
              <w:right w:type="dxa" w:w="120"/>
            </w:tcMar>
          </w:tcPr>
          <w:p>
            <w:pPr>
              <w:jc w:val="center"/>
            </w:pPr>
            <w:r>
              <w:rPr>
                <w:rFonts w:ascii="Arial" w:cs="Arial" w:eastAsia="Arial" w:hAnsi="Arial"/>
                <w:b/>
                <w:bCs/>
                <w:i w:val="false"/>
                <w:iCs w:val="false"/>
                <w:color w:val="1B2A4A"/>
                <w:sz w:val="19"/>
                <w:szCs w:val="19"/>
              </w:rPr>
              <w:t xml:space="preserve">5%</w:t>
            </w:r>
          </w:p>
        </w:tc>
        <w:tc>
          <w:tcPr>
            <w:tcW w:type="dxa" w:w="2280"/>
            <w:tcBorders>
              <w:top w:val="single" w:color="D0D5DD" w:sz="1"/>
              <w:left w:val="single" w:color="D0D5DD" w:sz="1"/>
              <w:bottom w:val="single" w:color="D0D5DD" w:sz="1"/>
              <w:right w:val="single" w:color="D0D5DD" w:sz="1"/>
            </w:tcBorders>
            <w:shd w:fill="D6EFE0" w:val="clear"/>
            <w:tcMar>
              <w:top w:type="dxa" w:w="85"/>
              <w:left w:type="dxa" w:w="120"/>
              <w:bottom w:type="dxa" w:w="85"/>
              <w:right w:type="dxa" w:w="120"/>
            </w:tcMar>
          </w:tcPr>
          <w:p>
            <w:pPr>
              <w:jc w:val="left"/>
            </w:pPr>
            <w:r>
              <w:rPr>
                <w:rFonts w:ascii="Arial" w:cs="Arial" w:eastAsia="Arial" w:hAnsi="Arial"/>
                <w:b w:val="false"/>
                <w:bCs w:val="false"/>
                <w:i w:val="false"/>
                <w:iCs w:val="false"/>
                <w:color w:val="555555"/>
                <w:sz w:val="16"/>
                <w:szCs w:val="16"/>
              </w:rPr>
              <w:t xml:space="preserve">Managed care leader; defensive revenue, large index weight</w:t>
            </w:r>
          </w:p>
        </w:tc>
      </w:tr>
      <w:tr>
        <w:tc>
          <w:tcPr>
            <w:tcW w:type="dxa" w:w="78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pPr>
              <w:jc w:val="center"/>
            </w:pPr>
            <w:r>
              <w:rPr>
                <w:rFonts w:ascii="Arial" w:cs="Arial" w:eastAsia="Arial" w:hAnsi="Arial"/>
                <w:b w:val="false"/>
                <w:bCs w:val="false"/>
                <w:i w:val="false"/>
                <w:iCs w:val="false"/>
                <w:color w:val="555555"/>
                <w:sz w:val="18"/>
                <w:szCs w:val="18"/>
              </w:rPr>
              <w:t xml:space="preserve">14</w:t>
            </w:r>
          </w:p>
        </w:tc>
        <w:tc>
          <w:tcPr>
            <w:tcW w:type="dxa" w:w="312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r>
              <w:rPr>
                <w:rFonts w:ascii="Arial" w:cs="Arial" w:eastAsia="Arial" w:hAnsi="Arial"/>
                <w:b/>
                <w:bCs/>
                <w:color w:val="1E6B3C"/>
                <w:sz w:val="19"/>
                <w:szCs w:val="19"/>
              </w:rPr>
              <w:t xml:space="preserve">LLY</w:t>
            </w:r>
          </w:p>
          <w:p>
            <w:r>
              <w:rPr>
                <w:rFonts w:ascii="Arial" w:cs="Arial" w:eastAsia="Arial" w:hAnsi="Arial"/>
                <w:color w:val="555555"/>
                <w:sz w:val="17"/>
                <w:szCs w:val="17"/>
              </w:rPr>
              <w:t xml:space="preserve">Eli Lilly and Co.</w:t>
            </w:r>
          </w:p>
        </w:tc>
        <w:tc>
          <w:tcPr>
            <w:tcW w:type="dxa" w:w="156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pPr>
              <w:jc w:val="left"/>
            </w:pPr>
            <w:r>
              <w:rPr>
                <w:rFonts w:ascii="Arial" w:cs="Arial" w:eastAsia="Arial" w:hAnsi="Arial"/>
                <w:b/>
                <w:bCs/>
                <w:i w:val="false"/>
                <w:iCs w:val="false"/>
                <w:color w:val="1E6B3C"/>
                <w:sz w:val="17"/>
                <w:szCs w:val="17"/>
              </w:rPr>
              <w:t xml:space="preserve">Healthcare</w:t>
            </w:r>
          </w:p>
        </w:tc>
        <w:tc>
          <w:tcPr>
            <w:tcW w:type="dxa" w:w="84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pPr>
              <w:jc w:val="left"/>
            </w:pPr>
            <w:r>
              <w:rPr>
                <w:rFonts w:ascii="Arial" w:cs="Arial" w:eastAsia="Arial" w:hAnsi="Arial"/>
                <w:b w:val="false"/>
                <w:bCs w:val="false"/>
                <w:i w:val="false"/>
                <w:iCs w:val="false"/>
                <w:color w:val="555555"/>
                <w:sz w:val="17"/>
                <w:szCs w:val="17"/>
              </w:rPr>
              <w:t xml:space="preserve">NYSE</w:t>
            </w:r>
          </w:p>
        </w:tc>
        <w:tc>
          <w:tcPr>
            <w:tcW w:type="dxa" w:w="78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pPr>
              <w:jc w:val="center"/>
            </w:pPr>
            <w:r>
              <w:rPr>
                <w:rFonts w:ascii="Arial" w:cs="Arial" w:eastAsia="Arial" w:hAnsi="Arial"/>
                <w:b/>
                <w:bCs/>
                <w:i w:val="false"/>
                <w:iCs w:val="false"/>
                <w:color w:val="1B2A4A"/>
                <w:sz w:val="19"/>
                <w:szCs w:val="19"/>
              </w:rPr>
              <w:t xml:space="preserve">5%</w:t>
            </w:r>
          </w:p>
        </w:tc>
        <w:tc>
          <w:tcPr>
            <w:tcW w:type="dxa" w:w="228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pPr>
              <w:jc w:val="left"/>
            </w:pPr>
            <w:r>
              <w:rPr>
                <w:rFonts w:ascii="Arial" w:cs="Arial" w:eastAsia="Arial" w:hAnsi="Arial"/>
                <w:b w:val="false"/>
                <w:bCs w:val="false"/>
                <w:i w:val="false"/>
                <w:iCs w:val="false"/>
                <w:color w:val="555555"/>
                <w:sz w:val="16"/>
                <w:szCs w:val="16"/>
              </w:rPr>
              <w:t xml:space="preserve">GLP-1 drug leadership; high growth, elevated valuation</w:t>
            </w:r>
          </w:p>
        </w:tc>
      </w:tr>
      <w:tr>
        <w:tc>
          <w:tcPr>
            <w:tcW w:type="dxa" w:w="780"/>
            <w:tcBorders>
              <w:top w:val="single" w:color="D0D5DD" w:sz="1"/>
              <w:left w:val="single" w:color="D0D5DD" w:sz="1"/>
              <w:bottom w:val="single" w:color="D0D5DD" w:sz="1"/>
              <w:right w:val="single" w:color="D0D5DD" w:sz="1"/>
            </w:tcBorders>
            <w:shd w:fill="D6EFE0" w:val="clear"/>
            <w:tcMar>
              <w:top w:type="dxa" w:w="85"/>
              <w:left w:type="dxa" w:w="120"/>
              <w:bottom w:type="dxa" w:w="85"/>
              <w:right w:type="dxa" w:w="120"/>
            </w:tcMar>
          </w:tcPr>
          <w:p>
            <w:pPr>
              <w:jc w:val="center"/>
            </w:pPr>
            <w:r>
              <w:rPr>
                <w:rFonts w:ascii="Arial" w:cs="Arial" w:eastAsia="Arial" w:hAnsi="Arial"/>
                <w:b w:val="false"/>
                <w:bCs w:val="false"/>
                <w:i w:val="false"/>
                <w:iCs w:val="false"/>
                <w:color w:val="555555"/>
                <w:sz w:val="18"/>
                <w:szCs w:val="18"/>
              </w:rPr>
              <w:t xml:space="preserve">15</w:t>
            </w:r>
          </w:p>
        </w:tc>
        <w:tc>
          <w:tcPr>
            <w:tcW w:type="dxa" w:w="3120"/>
            <w:tcBorders>
              <w:top w:val="single" w:color="D0D5DD" w:sz="1"/>
              <w:left w:val="single" w:color="D0D5DD" w:sz="1"/>
              <w:bottom w:val="single" w:color="D0D5DD" w:sz="1"/>
              <w:right w:val="single" w:color="D0D5DD" w:sz="1"/>
            </w:tcBorders>
            <w:shd w:fill="D6EFE0" w:val="clear"/>
            <w:tcMar>
              <w:top w:type="dxa" w:w="85"/>
              <w:left w:type="dxa" w:w="120"/>
              <w:bottom w:type="dxa" w:w="85"/>
              <w:right w:type="dxa" w:w="120"/>
            </w:tcMar>
          </w:tcPr>
          <w:p>
            <w:r>
              <w:rPr>
                <w:rFonts w:ascii="Arial" w:cs="Arial" w:eastAsia="Arial" w:hAnsi="Arial"/>
                <w:b/>
                <w:bCs/>
                <w:color w:val="1E6B3C"/>
                <w:sz w:val="19"/>
                <w:szCs w:val="19"/>
              </w:rPr>
              <w:t xml:space="preserve">JNJ</w:t>
            </w:r>
          </w:p>
          <w:p>
            <w:r>
              <w:rPr>
                <w:rFonts w:ascii="Arial" w:cs="Arial" w:eastAsia="Arial" w:hAnsi="Arial"/>
                <w:color w:val="555555"/>
                <w:sz w:val="17"/>
                <w:szCs w:val="17"/>
              </w:rPr>
              <w:t xml:space="preserve">Johnson &amp; Johnson</w:t>
            </w:r>
          </w:p>
        </w:tc>
        <w:tc>
          <w:tcPr>
            <w:tcW w:type="dxa" w:w="1560"/>
            <w:tcBorders>
              <w:top w:val="single" w:color="D0D5DD" w:sz="1"/>
              <w:left w:val="single" w:color="D0D5DD" w:sz="1"/>
              <w:bottom w:val="single" w:color="D0D5DD" w:sz="1"/>
              <w:right w:val="single" w:color="D0D5DD" w:sz="1"/>
            </w:tcBorders>
            <w:shd w:fill="D6EFE0" w:val="clear"/>
            <w:tcMar>
              <w:top w:type="dxa" w:w="85"/>
              <w:left w:type="dxa" w:w="120"/>
              <w:bottom w:type="dxa" w:w="85"/>
              <w:right w:type="dxa" w:w="120"/>
            </w:tcMar>
          </w:tcPr>
          <w:p>
            <w:pPr>
              <w:jc w:val="left"/>
            </w:pPr>
            <w:r>
              <w:rPr>
                <w:rFonts w:ascii="Arial" w:cs="Arial" w:eastAsia="Arial" w:hAnsi="Arial"/>
                <w:b/>
                <w:bCs/>
                <w:i w:val="false"/>
                <w:iCs w:val="false"/>
                <w:color w:val="1E6B3C"/>
                <w:sz w:val="17"/>
                <w:szCs w:val="17"/>
              </w:rPr>
              <w:t xml:space="preserve">Healthcare</w:t>
            </w:r>
          </w:p>
        </w:tc>
        <w:tc>
          <w:tcPr>
            <w:tcW w:type="dxa" w:w="840"/>
            <w:tcBorders>
              <w:top w:val="single" w:color="D0D5DD" w:sz="1"/>
              <w:left w:val="single" w:color="D0D5DD" w:sz="1"/>
              <w:bottom w:val="single" w:color="D0D5DD" w:sz="1"/>
              <w:right w:val="single" w:color="D0D5DD" w:sz="1"/>
            </w:tcBorders>
            <w:shd w:fill="D6EFE0" w:val="clear"/>
            <w:tcMar>
              <w:top w:type="dxa" w:w="85"/>
              <w:left w:type="dxa" w:w="120"/>
              <w:bottom w:type="dxa" w:w="85"/>
              <w:right w:type="dxa" w:w="120"/>
            </w:tcMar>
          </w:tcPr>
          <w:p>
            <w:pPr>
              <w:jc w:val="left"/>
            </w:pPr>
            <w:r>
              <w:rPr>
                <w:rFonts w:ascii="Arial" w:cs="Arial" w:eastAsia="Arial" w:hAnsi="Arial"/>
                <w:b w:val="false"/>
                <w:bCs w:val="false"/>
                <w:i w:val="false"/>
                <w:iCs w:val="false"/>
                <w:color w:val="555555"/>
                <w:sz w:val="17"/>
                <w:szCs w:val="17"/>
              </w:rPr>
              <w:t xml:space="preserve">NYSE</w:t>
            </w:r>
          </w:p>
        </w:tc>
        <w:tc>
          <w:tcPr>
            <w:tcW w:type="dxa" w:w="780"/>
            <w:tcBorders>
              <w:top w:val="single" w:color="D0D5DD" w:sz="1"/>
              <w:left w:val="single" w:color="D0D5DD" w:sz="1"/>
              <w:bottom w:val="single" w:color="D0D5DD" w:sz="1"/>
              <w:right w:val="single" w:color="D0D5DD" w:sz="1"/>
            </w:tcBorders>
            <w:shd w:fill="D6EFE0" w:val="clear"/>
            <w:tcMar>
              <w:top w:type="dxa" w:w="85"/>
              <w:left w:type="dxa" w:w="120"/>
              <w:bottom w:type="dxa" w:w="85"/>
              <w:right w:type="dxa" w:w="120"/>
            </w:tcMar>
          </w:tcPr>
          <w:p>
            <w:pPr>
              <w:jc w:val="center"/>
            </w:pPr>
            <w:r>
              <w:rPr>
                <w:rFonts w:ascii="Arial" w:cs="Arial" w:eastAsia="Arial" w:hAnsi="Arial"/>
                <w:b/>
                <w:bCs/>
                <w:i w:val="false"/>
                <w:iCs w:val="false"/>
                <w:color w:val="1B2A4A"/>
                <w:sz w:val="19"/>
                <w:szCs w:val="19"/>
              </w:rPr>
              <w:t xml:space="preserve">4%</w:t>
            </w:r>
          </w:p>
        </w:tc>
        <w:tc>
          <w:tcPr>
            <w:tcW w:type="dxa" w:w="2280"/>
            <w:tcBorders>
              <w:top w:val="single" w:color="D0D5DD" w:sz="1"/>
              <w:left w:val="single" w:color="D0D5DD" w:sz="1"/>
              <w:bottom w:val="single" w:color="D0D5DD" w:sz="1"/>
              <w:right w:val="single" w:color="D0D5DD" w:sz="1"/>
            </w:tcBorders>
            <w:shd w:fill="D6EFE0" w:val="clear"/>
            <w:tcMar>
              <w:top w:type="dxa" w:w="85"/>
              <w:left w:type="dxa" w:w="120"/>
              <w:bottom w:type="dxa" w:w="85"/>
              <w:right w:type="dxa" w:w="120"/>
            </w:tcMar>
          </w:tcPr>
          <w:p>
            <w:pPr>
              <w:jc w:val="left"/>
            </w:pPr>
            <w:r>
              <w:rPr>
                <w:rFonts w:ascii="Arial" w:cs="Arial" w:eastAsia="Arial" w:hAnsi="Arial"/>
                <w:b w:val="false"/>
                <w:bCs w:val="false"/>
                <w:i w:val="false"/>
                <w:iCs w:val="false"/>
                <w:color w:val="555555"/>
                <w:sz w:val="16"/>
                <w:szCs w:val="16"/>
              </w:rPr>
              <w:t xml:space="preserve">Diversified MedTech + pharma; classic defensive holding</w:t>
            </w:r>
          </w:p>
        </w:tc>
      </w:tr>
      <w:tr>
        <w:tc>
          <w:tcPr>
            <w:tcW w:type="dxa" w:w="78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pPr>
              <w:jc w:val="center"/>
            </w:pPr>
            <w:r>
              <w:rPr>
                <w:rFonts w:ascii="Arial" w:cs="Arial" w:eastAsia="Arial" w:hAnsi="Arial"/>
                <w:b w:val="false"/>
                <w:bCs w:val="false"/>
                <w:i w:val="false"/>
                <w:iCs w:val="false"/>
                <w:color w:val="555555"/>
                <w:sz w:val="18"/>
                <w:szCs w:val="18"/>
              </w:rPr>
              <w:t xml:space="preserve">16</w:t>
            </w:r>
          </w:p>
        </w:tc>
        <w:tc>
          <w:tcPr>
            <w:tcW w:type="dxa" w:w="312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r>
              <w:rPr>
                <w:rFonts w:ascii="Arial" w:cs="Arial" w:eastAsia="Arial" w:hAnsi="Arial"/>
                <w:b/>
                <w:bCs/>
                <w:color w:val="1E6B3C"/>
                <w:sz w:val="19"/>
                <w:szCs w:val="19"/>
              </w:rPr>
              <w:t xml:space="preserve">ABBV</w:t>
            </w:r>
          </w:p>
          <w:p>
            <w:r>
              <w:rPr>
                <w:rFonts w:ascii="Arial" w:cs="Arial" w:eastAsia="Arial" w:hAnsi="Arial"/>
                <w:color w:val="555555"/>
                <w:sz w:val="17"/>
                <w:szCs w:val="17"/>
              </w:rPr>
              <w:t xml:space="preserve">AbbVie Inc.</w:t>
            </w:r>
          </w:p>
        </w:tc>
        <w:tc>
          <w:tcPr>
            <w:tcW w:type="dxa" w:w="156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pPr>
              <w:jc w:val="left"/>
            </w:pPr>
            <w:r>
              <w:rPr>
                <w:rFonts w:ascii="Arial" w:cs="Arial" w:eastAsia="Arial" w:hAnsi="Arial"/>
                <w:b/>
                <w:bCs/>
                <w:i w:val="false"/>
                <w:iCs w:val="false"/>
                <w:color w:val="1E6B3C"/>
                <w:sz w:val="17"/>
                <w:szCs w:val="17"/>
              </w:rPr>
              <w:t xml:space="preserve">Healthcare</w:t>
            </w:r>
          </w:p>
        </w:tc>
        <w:tc>
          <w:tcPr>
            <w:tcW w:type="dxa" w:w="84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pPr>
              <w:jc w:val="left"/>
            </w:pPr>
            <w:r>
              <w:rPr>
                <w:rFonts w:ascii="Arial" w:cs="Arial" w:eastAsia="Arial" w:hAnsi="Arial"/>
                <w:b w:val="false"/>
                <w:bCs w:val="false"/>
                <w:i w:val="false"/>
                <w:iCs w:val="false"/>
                <w:color w:val="555555"/>
                <w:sz w:val="17"/>
                <w:szCs w:val="17"/>
              </w:rPr>
              <w:t xml:space="preserve">NYSE</w:t>
            </w:r>
          </w:p>
        </w:tc>
        <w:tc>
          <w:tcPr>
            <w:tcW w:type="dxa" w:w="78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pPr>
              <w:jc w:val="center"/>
            </w:pPr>
            <w:r>
              <w:rPr>
                <w:rFonts w:ascii="Arial" w:cs="Arial" w:eastAsia="Arial" w:hAnsi="Arial"/>
                <w:b/>
                <w:bCs/>
                <w:i w:val="false"/>
                <w:iCs w:val="false"/>
                <w:color w:val="1B2A4A"/>
                <w:sz w:val="19"/>
                <w:szCs w:val="19"/>
              </w:rPr>
              <w:t xml:space="preserve">3%</w:t>
            </w:r>
          </w:p>
        </w:tc>
        <w:tc>
          <w:tcPr>
            <w:tcW w:type="dxa" w:w="228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pPr>
              <w:jc w:val="left"/>
            </w:pPr>
            <w:r>
              <w:rPr>
                <w:rFonts w:ascii="Arial" w:cs="Arial" w:eastAsia="Arial" w:hAnsi="Arial"/>
                <w:b w:val="false"/>
                <w:bCs w:val="false"/>
                <w:i w:val="false"/>
                <w:iCs w:val="false"/>
                <w:color w:val="555555"/>
                <w:sz w:val="16"/>
                <w:szCs w:val="16"/>
              </w:rPr>
              <w:t xml:space="preserve">Humira successor drugs ramping; high dividend yield</w:t>
            </w:r>
          </w:p>
        </w:tc>
      </w:tr>
      <w:tr>
        <w:tc>
          <w:tcPr>
            <w:tcW w:type="dxa" w:w="780"/>
            <w:tcBorders>
              <w:top w:val="single" w:color="D0D5DD" w:sz="1"/>
              <w:left w:val="single" w:color="D0D5DD" w:sz="1"/>
              <w:bottom w:val="single" w:color="D0D5DD" w:sz="1"/>
              <w:right w:val="single" w:color="D0D5DD" w:sz="1"/>
            </w:tcBorders>
            <w:shd w:fill="D6EFE0" w:val="clear"/>
            <w:tcMar>
              <w:top w:type="dxa" w:w="85"/>
              <w:left w:type="dxa" w:w="120"/>
              <w:bottom w:type="dxa" w:w="85"/>
              <w:right w:type="dxa" w:w="120"/>
            </w:tcMar>
          </w:tcPr>
          <w:p>
            <w:pPr>
              <w:jc w:val="center"/>
            </w:pPr>
            <w:r>
              <w:rPr>
                <w:rFonts w:ascii="Arial" w:cs="Arial" w:eastAsia="Arial" w:hAnsi="Arial"/>
                <w:b w:val="false"/>
                <w:bCs w:val="false"/>
                <w:i w:val="false"/>
                <w:iCs w:val="false"/>
                <w:color w:val="555555"/>
                <w:sz w:val="18"/>
                <w:szCs w:val="18"/>
              </w:rPr>
              <w:t xml:space="preserve">17</w:t>
            </w:r>
          </w:p>
        </w:tc>
        <w:tc>
          <w:tcPr>
            <w:tcW w:type="dxa" w:w="3120"/>
            <w:tcBorders>
              <w:top w:val="single" w:color="D0D5DD" w:sz="1"/>
              <w:left w:val="single" w:color="D0D5DD" w:sz="1"/>
              <w:bottom w:val="single" w:color="D0D5DD" w:sz="1"/>
              <w:right w:val="single" w:color="D0D5DD" w:sz="1"/>
            </w:tcBorders>
            <w:shd w:fill="D6EFE0" w:val="clear"/>
            <w:tcMar>
              <w:top w:type="dxa" w:w="85"/>
              <w:left w:type="dxa" w:w="120"/>
              <w:bottom w:type="dxa" w:w="85"/>
              <w:right w:type="dxa" w:w="120"/>
            </w:tcMar>
          </w:tcPr>
          <w:p>
            <w:r>
              <w:rPr>
                <w:rFonts w:ascii="Arial" w:cs="Arial" w:eastAsia="Arial" w:hAnsi="Arial"/>
                <w:b/>
                <w:bCs/>
                <w:color w:val="1E6B3C"/>
                <w:sz w:val="19"/>
                <w:szCs w:val="19"/>
              </w:rPr>
              <w:t xml:space="preserve">MRK</w:t>
            </w:r>
          </w:p>
          <w:p>
            <w:r>
              <w:rPr>
                <w:rFonts w:ascii="Arial" w:cs="Arial" w:eastAsia="Arial" w:hAnsi="Arial"/>
                <w:color w:val="555555"/>
                <w:sz w:val="17"/>
                <w:szCs w:val="17"/>
              </w:rPr>
              <w:t xml:space="preserve">Merck &amp; Co. Inc.</w:t>
            </w:r>
          </w:p>
        </w:tc>
        <w:tc>
          <w:tcPr>
            <w:tcW w:type="dxa" w:w="1560"/>
            <w:tcBorders>
              <w:top w:val="single" w:color="D0D5DD" w:sz="1"/>
              <w:left w:val="single" w:color="D0D5DD" w:sz="1"/>
              <w:bottom w:val="single" w:color="D0D5DD" w:sz="1"/>
              <w:right w:val="single" w:color="D0D5DD" w:sz="1"/>
            </w:tcBorders>
            <w:shd w:fill="D6EFE0" w:val="clear"/>
            <w:tcMar>
              <w:top w:type="dxa" w:w="85"/>
              <w:left w:type="dxa" w:w="120"/>
              <w:bottom w:type="dxa" w:w="85"/>
              <w:right w:type="dxa" w:w="120"/>
            </w:tcMar>
          </w:tcPr>
          <w:p>
            <w:pPr>
              <w:jc w:val="left"/>
            </w:pPr>
            <w:r>
              <w:rPr>
                <w:rFonts w:ascii="Arial" w:cs="Arial" w:eastAsia="Arial" w:hAnsi="Arial"/>
                <w:b/>
                <w:bCs/>
                <w:i w:val="false"/>
                <w:iCs w:val="false"/>
                <w:color w:val="1E6B3C"/>
                <w:sz w:val="17"/>
                <w:szCs w:val="17"/>
              </w:rPr>
              <w:t xml:space="preserve">Healthcare</w:t>
            </w:r>
          </w:p>
        </w:tc>
        <w:tc>
          <w:tcPr>
            <w:tcW w:type="dxa" w:w="840"/>
            <w:tcBorders>
              <w:top w:val="single" w:color="D0D5DD" w:sz="1"/>
              <w:left w:val="single" w:color="D0D5DD" w:sz="1"/>
              <w:bottom w:val="single" w:color="D0D5DD" w:sz="1"/>
              <w:right w:val="single" w:color="D0D5DD" w:sz="1"/>
            </w:tcBorders>
            <w:shd w:fill="D6EFE0" w:val="clear"/>
            <w:tcMar>
              <w:top w:type="dxa" w:w="85"/>
              <w:left w:type="dxa" w:w="120"/>
              <w:bottom w:type="dxa" w:w="85"/>
              <w:right w:type="dxa" w:w="120"/>
            </w:tcMar>
          </w:tcPr>
          <w:p>
            <w:pPr>
              <w:jc w:val="left"/>
            </w:pPr>
            <w:r>
              <w:rPr>
                <w:rFonts w:ascii="Arial" w:cs="Arial" w:eastAsia="Arial" w:hAnsi="Arial"/>
                <w:b w:val="false"/>
                <w:bCs w:val="false"/>
                <w:i w:val="false"/>
                <w:iCs w:val="false"/>
                <w:color w:val="555555"/>
                <w:sz w:val="17"/>
                <w:szCs w:val="17"/>
              </w:rPr>
              <w:t xml:space="preserve">NYSE</w:t>
            </w:r>
          </w:p>
        </w:tc>
        <w:tc>
          <w:tcPr>
            <w:tcW w:type="dxa" w:w="780"/>
            <w:tcBorders>
              <w:top w:val="single" w:color="D0D5DD" w:sz="1"/>
              <w:left w:val="single" w:color="D0D5DD" w:sz="1"/>
              <w:bottom w:val="single" w:color="D0D5DD" w:sz="1"/>
              <w:right w:val="single" w:color="D0D5DD" w:sz="1"/>
            </w:tcBorders>
            <w:shd w:fill="D6EFE0" w:val="clear"/>
            <w:tcMar>
              <w:top w:type="dxa" w:w="85"/>
              <w:left w:type="dxa" w:w="120"/>
              <w:bottom w:type="dxa" w:w="85"/>
              <w:right w:type="dxa" w:w="120"/>
            </w:tcMar>
          </w:tcPr>
          <w:p>
            <w:pPr>
              <w:jc w:val="center"/>
            </w:pPr>
            <w:r>
              <w:rPr>
                <w:rFonts w:ascii="Arial" w:cs="Arial" w:eastAsia="Arial" w:hAnsi="Arial"/>
                <w:b/>
                <w:bCs/>
                <w:i w:val="false"/>
                <w:iCs w:val="false"/>
                <w:color w:val="1B2A4A"/>
                <w:sz w:val="19"/>
                <w:szCs w:val="19"/>
              </w:rPr>
              <w:t xml:space="preserve">3%</w:t>
            </w:r>
          </w:p>
        </w:tc>
        <w:tc>
          <w:tcPr>
            <w:tcW w:type="dxa" w:w="2280"/>
            <w:tcBorders>
              <w:top w:val="single" w:color="D0D5DD" w:sz="1"/>
              <w:left w:val="single" w:color="D0D5DD" w:sz="1"/>
              <w:bottom w:val="single" w:color="D0D5DD" w:sz="1"/>
              <w:right w:val="single" w:color="D0D5DD" w:sz="1"/>
            </w:tcBorders>
            <w:shd w:fill="D6EFE0" w:val="clear"/>
            <w:tcMar>
              <w:top w:type="dxa" w:w="85"/>
              <w:left w:type="dxa" w:w="120"/>
              <w:bottom w:type="dxa" w:w="85"/>
              <w:right w:type="dxa" w:w="120"/>
            </w:tcMar>
          </w:tcPr>
          <w:p>
            <w:pPr>
              <w:jc w:val="left"/>
            </w:pPr>
            <w:r>
              <w:rPr>
                <w:rFonts w:ascii="Arial" w:cs="Arial" w:eastAsia="Arial" w:hAnsi="Arial"/>
                <w:b w:val="false"/>
                <w:bCs w:val="false"/>
                <w:i w:val="false"/>
                <w:iCs w:val="false"/>
                <w:color w:val="555555"/>
                <w:sz w:val="16"/>
                <w:szCs w:val="16"/>
              </w:rPr>
              <w:t xml:space="preserve">Keytruda oncology franchise; steady cash generation</w:t>
            </w:r>
          </w:p>
        </w:tc>
      </w:tr>
      <w:tr>
        <w:tc>
          <w:tcPr>
            <w:tcW w:type="dxa" w:w="9360"/>
            <w:gridSpan w:val="6"/>
            <w:tcBorders>
              <w:top w:val="single" w:color="D0D5DD" w:sz="1"/>
              <w:left w:val="single" w:color="D0D5DD" w:sz="1"/>
              <w:bottom w:val="single" w:color="D0D5DD" w:sz="1"/>
              <w:right w:val="single" w:color="D0D5DD" w:sz="1"/>
            </w:tcBorders>
            <w:shd w:fill="C8861A" w:val="clear"/>
            <w:tcMar>
              <w:top w:type="dxa" w:w="80"/>
              <w:left w:type="dxa" w:w="140"/>
              <w:bottom w:type="dxa" w:w="80"/>
              <w:right w:type="dxa" w:w="140"/>
            </w:tcMar>
          </w:tcPr>
          <w:p>
            <w:r>
              <w:rPr>
                <w:rFonts w:ascii="Arial" w:cs="Arial" w:eastAsia="Arial" w:hAnsi="Arial"/>
                <w:b/>
                <w:bCs/>
                <w:color w:val="FFFFFF"/>
                <w:sz w:val="19"/>
                <w:szCs w:val="19"/>
              </w:rPr>
              <w:t xml:space="preserve">▸  ENERGY</w:t>
            </w:r>
          </w:p>
        </w:tc>
      </w:tr>
      <w:tr>
        <w:tc>
          <w:tcPr>
            <w:tcW w:type="dxa" w:w="780"/>
            <w:tcBorders>
              <w:top w:val="single" w:color="D0D5DD" w:sz="1"/>
              <w:left w:val="single" w:color="D0D5DD" w:sz="1"/>
              <w:bottom w:val="single" w:color="D0D5DD" w:sz="1"/>
              <w:right w:val="single" w:color="D0D5DD" w:sz="1"/>
            </w:tcBorders>
            <w:shd w:fill="FDF3E0" w:val="clear"/>
            <w:tcMar>
              <w:top w:type="dxa" w:w="85"/>
              <w:left w:type="dxa" w:w="120"/>
              <w:bottom w:type="dxa" w:w="85"/>
              <w:right w:type="dxa" w:w="120"/>
            </w:tcMar>
          </w:tcPr>
          <w:p>
            <w:pPr>
              <w:jc w:val="center"/>
            </w:pPr>
            <w:r>
              <w:rPr>
                <w:rFonts w:ascii="Arial" w:cs="Arial" w:eastAsia="Arial" w:hAnsi="Arial"/>
                <w:b w:val="false"/>
                <w:bCs w:val="false"/>
                <w:i w:val="false"/>
                <w:iCs w:val="false"/>
                <w:color w:val="555555"/>
                <w:sz w:val="18"/>
                <w:szCs w:val="18"/>
              </w:rPr>
              <w:t xml:space="preserve">18</w:t>
            </w:r>
          </w:p>
        </w:tc>
        <w:tc>
          <w:tcPr>
            <w:tcW w:type="dxa" w:w="3120"/>
            <w:tcBorders>
              <w:top w:val="single" w:color="D0D5DD" w:sz="1"/>
              <w:left w:val="single" w:color="D0D5DD" w:sz="1"/>
              <w:bottom w:val="single" w:color="D0D5DD" w:sz="1"/>
              <w:right w:val="single" w:color="D0D5DD" w:sz="1"/>
            </w:tcBorders>
            <w:shd w:fill="FDF3E0" w:val="clear"/>
            <w:tcMar>
              <w:top w:type="dxa" w:w="85"/>
              <w:left w:type="dxa" w:w="120"/>
              <w:bottom w:type="dxa" w:w="85"/>
              <w:right w:type="dxa" w:w="120"/>
            </w:tcMar>
          </w:tcPr>
          <w:p>
            <w:r>
              <w:rPr>
                <w:rFonts w:ascii="Arial" w:cs="Arial" w:eastAsia="Arial" w:hAnsi="Arial"/>
                <w:b/>
                <w:bCs/>
                <w:color w:val="C8861A"/>
                <w:sz w:val="19"/>
                <w:szCs w:val="19"/>
              </w:rPr>
              <w:t xml:space="preserve">XOM</w:t>
            </w:r>
          </w:p>
          <w:p>
            <w:r>
              <w:rPr>
                <w:rFonts w:ascii="Arial" w:cs="Arial" w:eastAsia="Arial" w:hAnsi="Arial"/>
                <w:color w:val="555555"/>
                <w:sz w:val="17"/>
                <w:szCs w:val="17"/>
              </w:rPr>
              <w:t xml:space="preserve">Exxon Mobil Corp.</w:t>
            </w:r>
          </w:p>
        </w:tc>
        <w:tc>
          <w:tcPr>
            <w:tcW w:type="dxa" w:w="1560"/>
            <w:tcBorders>
              <w:top w:val="single" w:color="D0D5DD" w:sz="1"/>
              <w:left w:val="single" w:color="D0D5DD" w:sz="1"/>
              <w:bottom w:val="single" w:color="D0D5DD" w:sz="1"/>
              <w:right w:val="single" w:color="D0D5DD" w:sz="1"/>
            </w:tcBorders>
            <w:shd w:fill="FDF3E0" w:val="clear"/>
            <w:tcMar>
              <w:top w:type="dxa" w:w="85"/>
              <w:left w:type="dxa" w:w="120"/>
              <w:bottom w:type="dxa" w:w="85"/>
              <w:right w:type="dxa" w:w="120"/>
            </w:tcMar>
          </w:tcPr>
          <w:p>
            <w:pPr>
              <w:jc w:val="left"/>
            </w:pPr>
            <w:r>
              <w:rPr>
                <w:rFonts w:ascii="Arial" w:cs="Arial" w:eastAsia="Arial" w:hAnsi="Arial"/>
                <w:b/>
                <w:bCs/>
                <w:i w:val="false"/>
                <w:iCs w:val="false"/>
                <w:color w:val="C8861A"/>
                <w:sz w:val="17"/>
                <w:szCs w:val="17"/>
              </w:rPr>
              <w:t xml:space="preserve">Energy</w:t>
            </w:r>
          </w:p>
        </w:tc>
        <w:tc>
          <w:tcPr>
            <w:tcW w:type="dxa" w:w="840"/>
            <w:tcBorders>
              <w:top w:val="single" w:color="D0D5DD" w:sz="1"/>
              <w:left w:val="single" w:color="D0D5DD" w:sz="1"/>
              <w:bottom w:val="single" w:color="D0D5DD" w:sz="1"/>
              <w:right w:val="single" w:color="D0D5DD" w:sz="1"/>
            </w:tcBorders>
            <w:shd w:fill="FDF3E0" w:val="clear"/>
            <w:tcMar>
              <w:top w:type="dxa" w:w="85"/>
              <w:left w:type="dxa" w:w="120"/>
              <w:bottom w:type="dxa" w:w="85"/>
              <w:right w:type="dxa" w:w="120"/>
            </w:tcMar>
          </w:tcPr>
          <w:p>
            <w:pPr>
              <w:jc w:val="left"/>
            </w:pPr>
            <w:r>
              <w:rPr>
                <w:rFonts w:ascii="Arial" w:cs="Arial" w:eastAsia="Arial" w:hAnsi="Arial"/>
                <w:b w:val="false"/>
                <w:bCs w:val="false"/>
                <w:i w:val="false"/>
                <w:iCs w:val="false"/>
                <w:color w:val="555555"/>
                <w:sz w:val="17"/>
                <w:szCs w:val="17"/>
              </w:rPr>
              <w:t xml:space="preserve">NYSE</w:t>
            </w:r>
          </w:p>
        </w:tc>
        <w:tc>
          <w:tcPr>
            <w:tcW w:type="dxa" w:w="780"/>
            <w:tcBorders>
              <w:top w:val="single" w:color="D0D5DD" w:sz="1"/>
              <w:left w:val="single" w:color="D0D5DD" w:sz="1"/>
              <w:bottom w:val="single" w:color="D0D5DD" w:sz="1"/>
              <w:right w:val="single" w:color="D0D5DD" w:sz="1"/>
            </w:tcBorders>
            <w:shd w:fill="FDF3E0" w:val="clear"/>
            <w:tcMar>
              <w:top w:type="dxa" w:w="85"/>
              <w:left w:type="dxa" w:w="120"/>
              <w:bottom w:type="dxa" w:w="85"/>
              <w:right w:type="dxa" w:w="120"/>
            </w:tcMar>
          </w:tcPr>
          <w:p>
            <w:pPr>
              <w:jc w:val="center"/>
            </w:pPr>
            <w:r>
              <w:rPr>
                <w:rFonts w:ascii="Arial" w:cs="Arial" w:eastAsia="Arial" w:hAnsi="Arial"/>
                <w:b/>
                <w:bCs/>
                <w:i w:val="false"/>
                <w:iCs w:val="false"/>
                <w:color w:val="1B2A4A"/>
                <w:sz w:val="19"/>
                <w:szCs w:val="19"/>
              </w:rPr>
              <w:t xml:space="preserve">5%</w:t>
            </w:r>
          </w:p>
        </w:tc>
        <w:tc>
          <w:tcPr>
            <w:tcW w:type="dxa" w:w="2280"/>
            <w:tcBorders>
              <w:top w:val="single" w:color="D0D5DD" w:sz="1"/>
              <w:left w:val="single" w:color="D0D5DD" w:sz="1"/>
              <w:bottom w:val="single" w:color="D0D5DD" w:sz="1"/>
              <w:right w:val="single" w:color="D0D5DD" w:sz="1"/>
            </w:tcBorders>
            <w:shd w:fill="FDF3E0" w:val="clear"/>
            <w:tcMar>
              <w:top w:type="dxa" w:w="85"/>
              <w:left w:type="dxa" w:w="120"/>
              <w:bottom w:type="dxa" w:w="85"/>
              <w:right w:type="dxa" w:w="120"/>
            </w:tcMar>
          </w:tcPr>
          <w:p>
            <w:pPr>
              <w:jc w:val="left"/>
            </w:pPr>
            <w:r>
              <w:rPr>
                <w:rFonts w:ascii="Arial" w:cs="Arial" w:eastAsia="Arial" w:hAnsi="Arial"/>
                <w:b w:val="false"/>
                <w:bCs w:val="false"/>
                <w:i w:val="false"/>
                <w:iCs w:val="false"/>
                <w:color w:val="555555"/>
                <w:sz w:val="16"/>
                <w:szCs w:val="16"/>
              </w:rPr>
              <w:t xml:space="preserve">Largest US integrated major; commodity price bellwether</w:t>
            </w:r>
          </w:p>
        </w:tc>
      </w:tr>
      <w:tr>
        <w:tc>
          <w:tcPr>
            <w:tcW w:type="dxa" w:w="78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pPr>
              <w:jc w:val="center"/>
            </w:pPr>
            <w:r>
              <w:rPr>
                <w:rFonts w:ascii="Arial" w:cs="Arial" w:eastAsia="Arial" w:hAnsi="Arial"/>
                <w:b w:val="false"/>
                <w:bCs w:val="false"/>
                <w:i w:val="false"/>
                <w:iCs w:val="false"/>
                <w:color w:val="555555"/>
                <w:sz w:val="18"/>
                <w:szCs w:val="18"/>
              </w:rPr>
              <w:t xml:space="preserve">19</w:t>
            </w:r>
          </w:p>
        </w:tc>
        <w:tc>
          <w:tcPr>
            <w:tcW w:type="dxa" w:w="312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r>
              <w:rPr>
                <w:rFonts w:ascii="Arial" w:cs="Arial" w:eastAsia="Arial" w:hAnsi="Arial"/>
                <w:b/>
                <w:bCs/>
                <w:color w:val="C8861A"/>
                <w:sz w:val="19"/>
                <w:szCs w:val="19"/>
              </w:rPr>
              <w:t xml:space="preserve">CVX</w:t>
            </w:r>
          </w:p>
          <w:p>
            <w:r>
              <w:rPr>
                <w:rFonts w:ascii="Arial" w:cs="Arial" w:eastAsia="Arial" w:hAnsi="Arial"/>
                <w:color w:val="555555"/>
                <w:sz w:val="17"/>
                <w:szCs w:val="17"/>
              </w:rPr>
              <w:t xml:space="preserve">Chevron Corp.</w:t>
            </w:r>
          </w:p>
        </w:tc>
        <w:tc>
          <w:tcPr>
            <w:tcW w:type="dxa" w:w="156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pPr>
              <w:jc w:val="left"/>
            </w:pPr>
            <w:r>
              <w:rPr>
                <w:rFonts w:ascii="Arial" w:cs="Arial" w:eastAsia="Arial" w:hAnsi="Arial"/>
                <w:b/>
                <w:bCs/>
                <w:i w:val="false"/>
                <w:iCs w:val="false"/>
                <w:color w:val="C8861A"/>
                <w:sz w:val="17"/>
                <w:szCs w:val="17"/>
              </w:rPr>
              <w:t xml:space="preserve">Energy</w:t>
            </w:r>
          </w:p>
        </w:tc>
        <w:tc>
          <w:tcPr>
            <w:tcW w:type="dxa" w:w="84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pPr>
              <w:jc w:val="left"/>
            </w:pPr>
            <w:r>
              <w:rPr>
                <w:rFonts w:ascii="Arial" w:cs="Arial" w:eastAsia="Arial" w:hAnsi="Arial"/>
                <w:b w:val="false"/>
                <w:bCs w:val="false"/>
                <w:i w:val="false"/>
                <w:iCs w:val="false"/>
                <w:color w:val="555555"/>
                <w:sz w:val="17"/>
                <w:szCs w:val="17"/>
              </w:rPr>
              <w:t xml:space="preserve">NYSE</w:t>
            </w:r>
          </w:p>
        </w:tc>
        <w:tc>
          <w:tcPr>
            <w:tcW w:type="dxa" w:w="78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pPr>
              <w:jc w:val="center"/>
            </w:pPr>
            <w:r>
              <w:rPr>
                <w:rFonts w:ascii="Arial" w:cs="Arial" w:eastAsia="Arial" w:hAnsi="Arial"/>
                <w:b/>
                <w:bCs/>
                <w:i w:val="false"/>
                <w:iCs w:val="false"/>
                <w:color w:val="1B2A4A"/>
                <w:sz w:val="19"/>
                <w:szCs w:val="19"/>
              </w:rPr>
              <w:t xml:space="preserve">4%</w:t>
            </w:r>
          </w:p>
        </w:tc>
        <w:tc>
          <w:tcPr>
            <w:tcW w:type="dxa" w:w="228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pPr>
              <w:jc w:val="left"/>
            </w:pPr>
            <w:r>
              <w:rPr>
                <w:rFonts w:ascii="Arial" w:cs="Arial" w:eastAsia="Arial" w:hAnsi="Arial"/>
                <w:b w:val="false"/>
                <w:bCs w:val="false"/>
                <w:i w:val="false"/>
                <w:iCs w:val="false"/>
                <w:color w:val="555555"/>
                <w:sz w:val="16"/>
                <w:szCs w:val="16"/>
              </w:rPr>
              <w:t xml:space="preserve">Strong balance sheet; lower breakeven vs peers</w:t>
            </w:r>
          </w:p>
        </w:tc>
      </w:tr>
      <w:tr>
        <w:tc>
          <w:tcPr>
            <w:tcW w:type="dxa" w:w="780"/>
            <w:tcBorders>
              <w:top w:val="single" w:color="D0D5DD" w:sz="1"/>
              <w:left w:val="single" w:color="D0D5DD" w:sz="1"/>
              <w:bottom w:val="single" w:color="D0D5DD" w:sz="1"/>
              <w:right w:val="single" w:color="D0D5DD" w:sz="1"/>
            </w:tcBorders>
            <w:shd w:fill="FDF3E0" w:val="clear"/>
            <w:tcMar>
              <w:top w:type="dxa" w:w="85"/>
              <w:left w:type="dxa" w:w="120"/>
              <w:bottom w:type="dxa" w:w="85"/>
              <w:right w:type="dxa" w:w="120"/>
            </w:tcMar>
          </w:tcPr>
          <w:p>
            <w:pPr>
              <w:jc w:val="center"/>
            </w:pPr>
            <w:r>
              <w:rPr>
                <w:rFonts w:ascii="Arial" w:cs="Arial" w:eastAsia="Arial" w:hAnsi="Arial"/>
                <w:b w:val="false"/>
                <w:bCs w:val="false"/>
                <w:i w:val="false"/>
                <w:iCs w:val="false"/>
                <w:color w:val="555555"/>
                <w:sz w:val="18"/>
                <w:szCs w:val="18"/>
              </w:rPr>
              <w:t xml:space="preserve">20</w:t>
            </w:r>
          </w:p>
        </w:tc>
        <w:tc>
          <w:tcPr>
            <w:tcW w:type="dxa" w:w="3120"/>
            <w:tcBorders>
              <w:top w:val="single" w:color="D0D5DD" w:sz="1"/>
              <w:left w:val="single" w:color="D0D5DD" w:sz="1"/>
              <w:bottom w:val="single" w:color="D0D5DD" w:sz="1"/>
              <w:right w:val="single" w:color="D0D5DD" w:sz="1"/>
            </w:tcBorders>
            <w:shd w:fill="FDF3E0" w:val="clear"/>
            <w:tcMar>
              <w:top w:type="dxa" w:w="85"/>
              <w:left w:type="dxa" w:w="120"/>
              <w:bottom w:type="dxa" w:w="85"/>
              <w:right w:type="dxa" w:w="120"/>
            </w:tcMar>
          </w:tcPr>
          <w:p>
            <w:r>
              <w:rPr>
                <w:rFonts w:ascii="Arial" w:cs="Arial" w:eastAsia="Arial" w:hAnsi="Arial"/>
                <w:b/>
                <w:bCs/>
                <w:color w:val="C8861A"/>
                <w:sz w:val="19"/>
                <w:szCs w:val="19"/>
              </w:rPr>
              <w:t xml:space="preserve">CNQ</w:t>
            </w:r>
          </w:p>
          <w:p>
            <w:r>
              <w:rPr>
                <w:rFonts w:ascii="Arial" w:cs="Arial" w:eastAsia="Arial" w:hAnsi="Arial"/>
                <w:color w:val="555555"/>
                <w:sz w:val="17"/>
                <w:szCs w:val="17"/>
              </w:rPr>
              <w:t xml:space="preserve">Canadian Natural Resources</w:t>
            </w:r>
          </w:p>
        </w:tc>
        <w:tc>
          <w:tcPr>
            <w:tcW w:type="dxa" w:w="1560"/>
            <w:tcBorders>
              <w:top w:val="single" w:color="D0D5DD" w:sz="1"/>
              <w:left w:val="single" w:color="D0D5DD" w:sz="1"/>
              <w:bottom w:val="single" w:color="D0D5DD" w:sz="1"/>
              <w:right w:val="single" w:color="D0D5DD" w:sz="1"/>
            </w:tcBorders>
            <w:shd w:fill="FDF3E0" w:val="clear"/>
            <w:tcMar>
              <w:top w:type="dxa" w:w="85"/>
              <w:left w:type="dxa" w:w="120"/>
              <w:bottom w:type="dxa" w:w="85"/>
              <w:right w:type="dxa" w:w="120"/>
            </w:tcMar>
          </w:tcPr>
          <w:p>
            <w:pPr>
              <w:jc w:val="left"/>
            </w:pPr>
            <w:r>
              <w:rPr>
                <w:rFonts w:ascii="Arial" w:cs="Arial" w:eastAsia="Arial" w:hAnsi="Arial"/>
                <w:b/>
                <w:bCs/>
                <w:i w:val="false"/>
                <w:iCs w:val="false"/>
                <w:color w:val="C8861A"/>
                <w:sz w:val="17"/>
                <w:szCs w:val="17"/>
              </w:rPr>
              <w:t xml:space="preserve">Energy</w:t>
            </w:r>
          </w:p>
        </w:tc>
        <w:tc>
          <w:tcPr>
            <w:tcW w:type="dxa" w:w="840"/>
            <w:tcBorders>
              <w:top w:val="single" w:color="D0D5DD" w:sz="1"/>
              <w:left w:val="single" w:color="D0D5DD" w:sz="1"/>
              <w:bottom w:val="single" w:color="D0D5DD" w:sz="1"/>
              <w:right w:val="single" w:color="D0D5DD" w:sz="1"/>
            </w:tcBorders>
            <w:shd w:fill="FDF3E0" w:val="clear"/>
            <w:tcMar>
              <w:top w:type="dxa" w:w="85"/>
              <w:left w:type="dxa" w:w="120"/>
              <w:bottom w:type="dxa" w:w="85"/>
              <w:right w:type="dxa" w:w="120"/>
            </w:tcMar>
          </w:tcPr>
          <w:p>
            <w:pPr>
              <w:jc w:val="left"/>
            </w:pPr>
            <w:r>
              <w:rPr>
                <w:rFonts w:ascii="Arial" w:cs="Arial" w:eastAsia="Arial" w:hAnsi="Arial"/>
                <w:b w:val="false"/>
                <w:bCs w:val="false"/>
                <w:i w:val="false"/>
                <w:iCs w:val="false"/>
                <w:color w:val="555555"/>
                <w:sz w:val="17"/>
                <w:szCs w:val="17"/>
              </w:rPr>
              <w:t xml:space="preserve">NYSE</w:t>
            </w:r>
          </w:p>
        </w:tc>
        <w:tc>
          <w:tcPr>
            <w:tcW w:type="dxa" w:w="780"/>
            <w:tcBorders>
              <w:top w:val="single" w:color="D0D5DD" w:sz="1"/>
              <w:left w:val="single" w:color="D0D5DD" w:sz="1"/>
              <w:bottom w:val="single" w:color="D0D5DD" w:sz="1"/>
              <w:right w:val="single" w:color="D0D5DD" w:sz="1"/>
            </w:tcBorders>
            <w:shd w:fill="FDF3E0" w:val="clear"/>
            <w:tcMar>
              <w:top w:type="dxa" w:w="85"/>
              <w:left w:type="dxa" w:w="120"/>
              <w:bottom w:type="dxa" w:w="85"/>
              <w:right w:type="dxa" w:w="120"/>
            </w:tcMar>
          </w:tcPr>
          <w:p>
            <w:pPr>
              <w:jc w:val="center"/>
            </w:pPr>
            <w:r>
              <w:rPr>
                <w:rFonts w:ascii="Arial" w:cs="Arial" w:eastAsia="Arial" w:hAnsi="Arial"/>
                <w:b/>
                <w:bCs/>
                <w:i w:val="false"/>
                <w:iCs w:val="false"/>
                <w:color w:val="1B2A4A"/>
                <w:sz w:val="19"/>
                <w:szCs w:val="19"/>
              </w:rPr>
              <w:t xml:space="preserve">3%</w:t>
            </w:r>
          </w:p>
        </w:tc>
        <w:tc>
          <w:tcPr>
            <w:tcW w:type="dxa" w:w="2280"/>
            <w:tcBorders>
              <w:top w:val="single" w:color="D0D5DD" w:sz="1"/>
              <w:left w:val="single" w:color="D0D5DD" w:sz="1"/>
              <w:bottom w:val="single" w:color="D0D5DD" w:sz="1"/>
              <w:right w:val="single" w:color="D0D5DD" w:sz="1"/>
            </w:tcBorders>
            <w:shd w:fill="FDF3E0" w:val="clear"/>
            <w:tcMar>
              <w:top w:type="dxa" w:w="85"/>
              <w:left w:type="dxa" w:w="120"/>
              <w:bottom w:type="dxa" w:w="85"/>
              <w:right w:type="dxa" w:w="120"/>
            </w:tcMar>
          </w:tcPr>
          <w:p>
            <w:pPr>
              <w:jc w:val="left"/>
            </w:pPr>
            <w:r>
              <w:rPr>
                <w:rFonts w:ascii="Arial" w:cs="Arial" w:eastAsia="Arial" w:hAnsi="Arial"/>
                <w:b w:val="false"/>
                <w:bCs w:val="false"/>
                <w:i w:val="false"/>
                <w:iCs w:val="false"/>
                <w:color w:val="555555"/>
                <w:sz w:val="16"/>
                <w:szCs w:val="16"/>
              </w:rPr>
              <w:t xml:space="preserve">Low-cost Canadian oil sands; long reserve life</w:t>
            </w:r>
          </w:p>
        </w:tc>
      </w:tr>
      <w:tr>
        <w:tc>
          <w:tcPr>
            <w:tcW w:type="dxa" w:w="78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pPr>
              <w:jc w:val="center"/>
            </w:pPr>
            <w:r>
              <w:rPr>
                <w:rFonts w:ascii="Arial" w:cs="Arial" w:eastAsia="Arial" w:hAnsi="Arial"/>
                <w:b w:val="false"/>
                <w:bCs w:val="false"/>
                <w:i w:val="false"/>
                <w:iCs w:val="false"/>
                <w:color w:val="555555"/>
                <w:sz w:val="18"/>
                <w:szCs w:val="18"/>
              </w:rPr>
              <w:t xml:space="preserve">21</w:t>
            </w:r>
          </w:p>
        </w:tc>
        <w:tc>
          <w:tcPr>
            <w:tcW w:type="dxa" w:w="312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r>
              <w:rPr>
                <w:rFonts w:ascii="Arial" w:cs="Arial" w:eastAsia="Arial" w:hAnsi="Arial"/>
                <w:b/>
                <w:bCs/>
                <w:color w:val="C8861A"/>
                <w:sz w:val="19"/>
                <w:szCs w:val="19"/>
              </w:rPr>
              <w:t xml:space="preserve">COP</w:t>
            </w:r>
          </w:p>
          <w:p>
            <w:r>
              <w:rPr>
                <w:rFonts w:ascii="Arial" w:cs="Arial" w:eastAsia="Arial" w:hAnsi="Arial"/>
                <w:color w:val="555555"/>
                <w:sz w:val="17"/>
                <w:szCs w:val="17"/>
              </w:rPr>
              <w:t xml:space="preserve">ConocoPhillips</w:t>
            </w:r>
          </w:p>
        </w:tc>
        <w:tc>
          <w:tcPr>
            <w:tcW w:type="dxa" w:w="156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pPr>
              <w:jc w:val="left"/>
            </w:pPr>
            <w:r>
              <w:rPr>
                <w:rFonts w:ascii="Arial" w:cs="Arial" w:eastAsia="Arial" w:hAnsi="Arial"/>
                <w:b/>
                <w:bCs/>
                <w:i w:val="false"/>
                <w:iCs w:val="false"/>
                <w:color w:val="C8861A"/>
                <w:sz w:val="17"/>
                <w:szCs w:val="17"/>
              </w:rPr>
              <w:t xml:space="preserve">Energy</w:t>
            </w:r>
          </w:p>
        </w:tc>
        <w:tc>
          <w:tcPr>
            <w:tcW w:type="dxa" w:w="84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pPr>
              <w:jc w:val="left"/>
            </w:pPr>
            <w:r>
              <w:rPr>
                <w:rFonts w:ascii="Arial" w:cs="Arial" w:eastAsia="Arial" w:hAnsi="Arial"/>
                <w:b w:val="false"/>
                <w:bCs w:val="false"/>
                <w:i w:val="false"/>
                <w:iCs w:val="false"/>
                <w:color w:val="555555"/>
                <w:sz w:val="17"/>
                <w:szCs w:val="17"/>
              </w:rPr>
              <w:t xml:space="preserve">NYSE</w:t>
            </w:r>
          </w:p>
        </w:tc>
        <w:tc>
          <w:tcPr>
            <w:tcW w:type="dxa" w:w="78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pPr>
              <w:jc w:val="center"/>
            </w:pPr>
            <w:r>
              <w:rPr>
                <w:rFonts w:ascii="Arial" w:cs="Arial" w:eastAsia="Arial" w:hAnsi="Arial"/>
                <w:b/>
                <w:bCs/>
                <w:i w:val="false"/>
                <w:iCs w:val="false"/>
                <w:color w:val="1B2A4A"/>
                <w:sz w:val="19"/>
                <w:szCs w:val="19"/>
              </w:rPr>
              <w:t xml:space="preserve">3%</w:t>
            </w:r>
          </w:p>
        </w:tc>
        <w:tc>
          <w:tcPr>
            <w:tcW w:type="dxa" w:w="228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pPr>
              <w:jc w:val="left"/>
            </w:pPr>
            <w:r>
              <w:rPr>
                <w:rFonts w:ascii="Arial" w:cs="Arial" w:eastAsia="Arial" w:hAnsi="Arial"/>
                <w:b w:val="false"/>
                <w:bCs w:val="false"/>
                <w:i w:val="false"/>
                <w:iCs w:val="false"/>
                <w:color w:val="555555"/>
                <w:sz w:val="16"/>
                <w:szCs w:val="16"/>
              </w:rPr>
              <w:t xml:space="preserve">Pure-play E&amp;P; high free cash flow at current oil prices</w:t>
            </w:r>
          </w:p>
        </w:tc>
      </w:tr>
      <w:tr>
        <w:tc>
          <w:tcPr>
            <w:tcW w:type="dxa" w:w="9360"/>
            <w:gridSpan w:val="6"/>
            <w:tcBorders>
              <w:top w:val="single" w:color="D0D5DD" w:sz="1"/>
              <w:left w:val="single" w:color="D0D5DD" w:sz="1"/>
              <w:bottom w:val="single" w:color="D0D5DD" w:sz="1"/>
              <w:right w:val="single" w:color="D0D5DD" w:sz="1"/>
            </w:tcBorders>
            <w:shd w:fill="5B3FA0" w:val="clear"/>
            <w:tcMar>
              <w:top w:type="dxa" w:w="80"/>
              <w:left w:type="dxa" w:w="140"/>
              <w:bottom w:type="dxa" w:w="80"/>
              <w:right w:type="dxa" w:w="140"/>
            </w:tcMar>
          </w:tcPr>
          <w:p>
            <w:r>
              <w:rPr>
                <w:rFonts w:ascii="Arial" w:cs="Arial" w:eastAsia="Arial" w:hAnsi="Arial"/>
                <w:b/>
                <w:bCs/>
                <w:color w:val="FFFFFF"/>
                <w:sz w:val="19"/>
                <w:szCs w:val="19"/>
              </w:rPr>
              <w:t xml:space="preserve">▸  INDUSTRIALS</w:t>
            </w:r>
          </w:p>
        </w:tc>
      </w:tr>
      <w:tr>
        <w:tc>
          <w:tcPr>
            <w:tcW w:type="dxa" w:w="780"/>
            <w:tcBorders>
              <w:top w:val="single" w:color="D0D5DD" w:sz="1"/>
              <w:left w:val="single" w:color="D0D5DD" w:sz="1"/>
              <w:bottom w:val="single" w:color="D0D5DD" w:sz="1"/>
              <w:right w:val="single" w:color="D0D5DD" w:sz="1"/>
            </w:tcBorders>
            <w:shd w:fill="EAE4F7" w:val="clear"/>
            <w:tcMar>
              <w:top w:type="dxa" w:w="85"/>
              <w:left w:type="dxa" w:w="120"/>
              <w:bottom w:type="dxa" w:w="85"/>
              <w:right w:type="dxa" w:w="120"/>
            </w:tcMar>
          </w:tcPr>
          <w:p>
            <w:pPr>
              <w:jc w:val="center"/>
            </w:pPr>
            <w:r>
              <w:rPr>
                <w:rFonts w:ascii="Arial" w:cs="Arial" w:eastAsia="Arial" w:hAnsi="Arial"/>
                <w:b w:val="false"/>
                <w:bCs w:val="false"/>
                <w:i w:val="false"/>
                <w:iCs w:val="false"/>
                <w:color w:val="555555"/>
                <w:sz w:val="18"/>
                <w:szCs w:val="18"/>
              </w:rPr>
              <w:t xml:space="preserve">22</w:t>
            </w:r>
          </w:p>
        </w:tc>
        <w:tc>
          <w:tcPr>
            <w:tcW w:type="dxa" w:w="3120"/>
            <w:tcBorders>
              <w:top w:val="single" w:color="D0D5DD" w:sz="1"/>
              <w:left w:val="single" w:color="D0D5DD" w:sz="1"/>
              <w:bottom w:val="single" w:color="D0D5DD" w:sz="1"/>
              <w:right w:val="single" w:color="D0D5DD" w:sz="1"/>
            </w:tcBorders>
            <w:shd w:fill="EAE4F7" w:val="clear"/>
            <w:tcMar>
              <w:top w:type="dxa" w:w="85"/>
              <w:left w:type="dxa" w:w="120"/>
              <w:bottom w:type="dxa" w:w="85"/>
              <w:right w:type="dxa" w:w="120"/>
            </w:tcMar>
          </w:tcPr>
          <w:p>
            <w:r>
              <w:rPr>
                <w:rFonts w:ascii="Arial" w:cs="Arial" w:eastAsia="Arial" w:hAnsi="Arial"/>
                <w:b/>
                <w:bCs/>
                <w:color w:val="5B3FA0"/>
                <w:sz w:val="19"/>
                <w:szCs w:val="19"/>
              </w:rPr>
              <w:t xml:space="preserve">CAT</w:t>
            </w:r>
          </w:p>
          <w:p>
            <w:r>
              <w:rPr>
                <w:rFonts w:ascii="Arial" w:cs="Arial" w:eastAsia="Arial" w:hAnsi="Arial"/>
                <w:color w:val="555555"/>
                <w:sz w:val="17"/>
                <w:szCs w:val="17"/>
              </w:rPr>
              <w:t xml:space="preserve">Caterpillar Inc.</w:t>
            </w:r>
          </w:p>
        </w:tc>
        <w:tc>
          <w:tcPr>
            <w:tcW w:type="dxa" w:w="1560"/>
            <w:tcBorders>
              <w:top w:val="single" w:color="D0D5DD" w:sz="1"/>
              <w:left w:val="single" w:color="D0D5DD" w:sz="1"/>
              <w:bottom w:val="single" w:color="D0D5DD" w:sz="1"/>
              <w:right w:val="single" w:color="D0D5DD" w:sz="1"/>
            </w:tcBorders>
            <w:shd w:fill="EAE4F7" w:val="clear"/>
            <w:tcMar>
              <w:top w:type="dxa" w:w="85"/>
              <w:left w:type="dxa" w:w="120"/>
              <w:bottom w:type="dxa" w:w="85"/>
              <w:right w:type="dxa" w:w="120"/>
            </w:tcMar>
          </w:tcPr>
          <w:p>
            <w:pPr>
              <w:jc w:val="left"/>
            </w:pPr>
            <w:r>
              <w:rPr>
                <w:rFonts w:ascii="Arial" w:cs="Arial" w:eastAsia="Arial" w:hAnsi="Arial"/>
                <w:b/>
                <w:bCs/>
                <w:i w:val="false"/>
                <w:iCs w:val="false"/>
                <w:color w:val="5B3FA0"/>
                <w:sz w:val="17"/>
                <w:szCs w:val="17"/>
              </w:rPr>
              <w:t xml:space="preserve">Industrials</w:t>
            </w:r>
          </w:p>
        </w:tc>
        <w:tc>
          <w:tcPr>
            <w:tcW w:type="dxa" w:w="840"/>
            <w:tcBorders>
              <w:top w:val="single" w:color="D0D5DD" w:sz="1"/>
              <w:left w:val="single" w:color="D0D5DD" w:sz="1"/>
              <w:bottom w:val="single" w:color="D0D5DD" w:sz="1"/>
              <w:right w:val="single" w:color="D0D5DD" w:sz="1"/>
            </w:tcBorders>
            <w:shd w:fill="EAE4F7" w:val="clear"/>
            <w:tcMar>
              <w:top w:type="dxa" w:w="85"/>
              <w:left w:type="dxa" w:w="120"/>
              <w:bottom w:type="dxa" w:w="85"/>
              <w:right w:type="dxa" w:w="120"/>
            </w:tcMar>
          </w:tcPr>
          <w:p>
            <w:pPr>
              <w:jc w:val="left"/>
            </w:pPr>
            <w:r>
              <w:rPr>
                <w:rFonts w:ascii="Arial" w:cs="Arial" w:eastAsia="Arial" w:hAnsi="Arial"/>
                <w:b w:val="false"/>
                <w:bCs w:val="false"/>
                <w:i w:val="false"/>
                <w:iCs w:val="false"/>
                <w:color w:val="555555"/>
                <w:sz w:val="17"/>
                <w:szCs w:val="17"/>
              </w:rPr>
              <w:t xml:space="preserve">NYSE</w:t>
            </w:r>
          </w:p>
        </w:tc>
        <w:tc>
          <w:tcPr>
            <w:tcW w:type="dxa" w:w="780"/>
            <w:tcBorders>
              <w:top w:val="single" w:color="D0D5DD" w:sz="1"/>
              <w:left w:val="single" w:color="D0D5DD" w:sz="1"/>
              <w:bottom w:val="single" w:color="D0D5DD" w:sz="1"/>
              <w:right w:val="single" w:color="D0D5DD" w:sz="1"/>
            </w:tcBorders>
            <w:shd w:fill="EAE4F7" w:val="clear"/>
            <w:tcMar>
              <w:top w:type="dxa" w:w="85"/>
              <w:left w:type="dxa" w:w="120"/>
              <w:bottom w:type="dxa" w:w="85"/>
              <w:right w:type="dxa" w:w="120"/>
            </w:tcMar>
          </w:tcPr>
          <w:p>
            <w:pPr>
              <w:jc w:val="center"/>
            </w:pPr>
            <w:r>
              <w:rPr>
                <w:rFonts w:ascii="Arial" w:cs="Arial" w:eastAsia="Arial" w:hAnsi="Arial"/>
                <w:b/>
                <w:bCs/>
                <w:i w:val="false"/>
                <w:iCs w:val="false"/>
                <w:color w:val="1B2A4A"/>
                <w:sz w:val="19"/>
                <w:szCs w:val="19"/>
              </w:rPr>
              <w:t xml:space="preserve">3%</w:t>
            </w:r>
          </w:p>
        </w:tc>
        <w:tc>
          <w:tcPr>
            <w:tcW w:type="dxa" w:w="2280"/>
            <w:tcBorders>
              <w:top w:val="single" w:color="D0D5DD" w:sz="1"/>
              <w:left w:val="single" w:color="D0D5DD" w:sz="1"/>
              <w:bottom w:val="single" w:color="D0D5DD" w:sz="1"/>
              <w:right w:val="single" w:color="D0D5DD" w:sz="1"/>
            </w:tcBorders>
            <w:shd w:fill="EAE4F7" w:val="clear"/>
            <w:tcMar>
              <w:top w:type="dxa" w:w="85"/>
              <w:left w:type="dxa" w:w="120"/>
              <w:bottom w:type="dxa" w:w="85"/>
              <w:right w:type="dxa" w:w="120"/>
            </w:tcMar>
          </w:tcPr>
          <w:p>
            <w:pPr>
              <w:jc w:val="left"/>
            </w:pPr>
            <w:r>
              <w:rPr>
                <w:rFonts w:ascii="Arial" w:cs="Arial" w:eastAsia="Arial" w:hAnsi="Arial"/>
                <w:b w:val="false"/>
                <w:bCs w:val="false"/>
                <w:i w:val="false"/>
                <w:iCs w:val="false"/>
                <w:color w:val="555555"/>
                <w:sz w:val="16"/>
                <w:szCs w:val="16"/>
              </w:rPr>
              <w:t xml:space="preserve">Infrastructure + mining equipment; economic cycle proxy</w:t>
            </w:r>
          </w:p>
        </w:tc>
      </w:tr>
      <w:tr>
        <w:tc>
          <w:tcPr>
            <w:tcW w:type="dxa" w:w="78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pPr>
              <w:jc w:val="center"/>
            </w:pPr>
            <w:r>
              <w:rPr>
                <w:rFonts w:ascii="Arial" w:cs="Arial" w:eastAsia="Arial" w:hAnsi="Arial"/>
                <w:b w:val="false"/>
                <w:bCs w:val="false"/>
                <w:i w:val="false"/>
                <w:iCs w:val="false"/>
                <w:color w:val="555555"/>
                <w:sz w:val="18"/>
                <w:szCs w:val="18"/>
              </w:rPr>
              <w:t xml:space="preserve">23</w:t>
            </w:r>
          </w:p>
        </w:tc>
        <w:tc>
          <w:tcPr>
            <w:tcW w:type="dxa" w:w="312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r>
              <w:rPr>
                <w:rFonts w:ascii="Arial" w:cs="Arial" w:eastAsia="Arial" w:hAnsi="Arial"/>
                <w:b/>
                <w:bCs/>
                <w:color w:val="5B3FA0"/>
                <w:sz w:val="19"/>
                <w:szCs w:val="19"/>
              </w:rPr>
              <w:t xml:space="preserve">GE</w:t>
            </w:r>
          </w:p>
          <w:p>
            <w:r>
              <w:rPr>
                <w:rFonts w:ascii="Arial" w:cs="Arial" w:eastAsia="Arial" w:hAnsi="Arial"/>
                <w:color w:val="555555"/>
                <w:sz w:val="17"/>
                <w:szCs w:val="17"/>
              </w:rPr>
              <w:t xml:space="preserve">GE Aerospace</w:t>
            </w:r>
          </w:p>
        </w:tc>
        <w:tc>
          <w:tcPr>
            <w:tcW w:type="dxa" w:w="156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pPr>
              <w:jc w:val="left"/>
            </w:pPr>
            <w:r>
              <w:rPr>
                <w:rFonts w:ascii="Arial" w:cs="Arial" w:eastAsia="Arial" w:hAnsi="Arial"/>
                <w:b/>
                <w:bCs/>
                <w:i w:val="false"/>
                <w:iCs w:val="false"/>
                <w:color w:val="5B3FA0"/>
                <w:sz w:val="17"/>
                <w:szCs w:val="17"/>
              </w:rPr>
              <w:t xml:space="preserve">Industrials</w:t>
            </w:r>
          </w:p>
        </w:tc>
        <w:tc>
          <w:tcPr>
            <w:tcW w:type="dxa" w:w="84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pPr>
              <w:jc w:val="left"/>
            </w:pPr>
            <w:r>
              <w:rPr>
                <w:rFonts w:ascii="Arial" w:cs="Arial" w:eastAsia="Arial" w:hAnsi="Arial"/>
                <w:b w:val="false"/>
                <w:bCs w:val="false"/>
                <w:i w:val="false"/>
                <w:iCs w:val="false"/>
                <w:color w:val="555555"/>
                <w:sz w:val="17"/>
                <w:szCs w:val="17"/>
              </w:rPr>
              <w:t xml:space="preserve">NYSE</w:t>
            </w:r>
          </w:p>
        </w:tc>
        <w:tc>
          <w:tcPr>
            <w:tcW w:type="dxa" w:w="78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pPr>
              <w:jc w:val="center"/>
            </w:pPr>
            <w:r>
              <w:rPr>
                <w:rFonts w:ascii="Arial" w:cs="Arial" w:eastAsia="Arial" w:hAnsi="Arial"/>
                <w:b/>
                <w:bCs/>
                <w:i w:val="false"/>
                <w:iCs w:val="false"/>
                <w:color w:val="1B2A4A"/>
                <w:sz w:val="19"/>
                <w:szCs w:val="19"/>
              </w:rPr>
              <w:t xml:space="preserve">3%</w:t>
            </w:r>
          </w:p>
        </w:tc>
        <w:tc>
          <w:tcPr>
            <w:tcW w:type="dxa" w:w="228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pPr>
              <w:jc w:val="left"/>
            </w:pPr>
            <w:r>
              <w:rPr>
                <w:rFonts w:ascii="Arial" w:cs="Arial" w:eastAsia="Arial" w:hAnsi="Arial"/>
                <w:b w:val="false"/>
                <w:bCs w:val="false"/>
                <w:i w:val="false"/>
                <w:iCs w:val="false"/>
                <w:color w:val="555555"/>
                <w:sz w:val="16"/>
                <w:szCs w:val="16"/>
              </w:rPr>
              <w:t xml:space="preserve">Jet engine aftermarket; multi-year revenue visibility</w:t>
            </w:r>
          </w:p>
        </w:tc>
      </w:tr>
      <w:tr>
        <w:tc>
          <w:tcPr>
            <w:tcW w:type="dxa" w:w="780"/>
            <w:tcBorders>
              <w:top w:val="single" w:color="D0D5DD" w:sz="1"/>
              <w:left w:val="single" w:color="D0D5DD" w:sz="1"/>
              <w:bottom w:val="single" w:color="D0D5DD" w:sz="1"/>
              <w:right w:val="single" w:color="D0D5DD" w:sz="1"/>
            </w:tcBorders>
            <w:shd w:fill="EAE4F7" w:val="clear"/>
            <w:tcMar>
              <w:top w:type="dxa" w:w="85"/>
              <w:left w:type="dxa" w:w="120"/>
              <w:bottom w:type="dxa" w:w="85"/>
              <w:right w:type="dxa" w:w="120"/>
            </w:tcMar>
          </w:tcPr>
          <w:p>
            <w:pPr>
              <w:jc w:val="center"/>
            </w:pPr>
            <w:r>
              <w:rPr>
                <w:rFonts w:ascii="Arial" w:cs="Arial" w:eastAsia="Arial" w:hAnsi="Arial"/>
                <w:b w:val="false"/>
                <w:bCs w:val="false"/>
                <w:i w:val="false"/>
                <w:iCs w:val="false"/>
                <w:color w:val="555555"/>
                <w:sz w:val="18"/>
                <w:szCs w:val="18"/>
              </w:rPr>
              <w:t xml:space="preserve">24</w:t>
            </w:r>
          </w:p>
        </w:tc>
        <w:tc>
          <w:tcPr>
            <w:tcW w:type="dxa" w:w="3120"/>
            <w:tcBorders>
              <w:top w:val="single" w:color="D0D5DD" w:sz="1"/>
              <w:left w:val="single" w:color="D0D5DD" w:sz="1"/>
              <w:bottom w:val="single" w:color="D0D5DD" w:sz="1"/>
              <w:right w:val="single" w:color="D0D5DD" w:sz="1"/>
            </w:tcBorders>
            <w:shd w:fill="EAE4F7" w:val="clear"/>
            <w:tcMar>
              <w:top w:type="dxa" w:w="85"/>
              <w:left w:type="dxa" w:w="120"/>
              <w:bottom w:type="dxa" w:w="85"/>
              <w:right w:type="dxa" w:w="120"/>
            </w:tcMar>
          </w:tcPr>
          <w:p>
            <w:r>
              <w:rPr>
                <w:rFonts w:ascii="Arial" w:cs="Arial" w:eastAsia="Arial" w:hAnsi="Arial"/>
                <w:b/>
                <w:bCs/>
                <w:color w:val="5B3FA0"/>
                <w:sz w:val="19"/>
                <w:szCs w:val="19"/>
              </w:rPr>
              <w:t xml:space="preserve">HON</w:t>
            </w:r>
          </w:p>
          <w:p>
            <w:r>
              <w:rPr>
                <w:rFonts w:ascii="Arial" w:cs="Arial" w:eastAsia="Arial" w:hAnsi="Arial"/>
                <w:color w:val="555555"/>
                <w:sz w:val="17"/>
                <w:szCs w:val="17"/>
              </w:rPr>
              <w:t xml:space="preserve">Honeywell International</w:t>
            </w:r>
          </w:p>
        </w:tc>
        <w:tc>
          <w:tcPr>
            <w:tcW w:type="dxa" w:w="1560"/>
            <w:tcBorders>
              <w:top w:val="single" w:color="D0D5DD" w:sz="1"/>
              <w:left w:val="single" w:color="D0D5DD" w:sz="1"/>
              <w:bottom w:val="single" w:color="D0D5DD" w:sz="1"/>
              <w:right w:val="single" w:color="D0D5DD" w:sz="1"/>
            </w:tcBorders>
            <w:shd w:fill="EAE4F7" w:val="clear"/>
            <w:tcMar>
              <w:top w:type="dxa" w:w="85"/>
              <w:left w:type="dxa" w:w="120"/>
              <w:bottom w:type="dxa" w:w="85"/>
              <w:right w:type="dxa" w:w="120"/>
            </w:tcMar>
          </w:tcPr>
          <w:p>
            <w:pPr>
              <w:jc w:val="left"/>
            </w:pPr>
            <w:r>
              <w:rPr>
                <w:rFonts w:ascii="Arial" w:cs="Arial" w:eastAsia="Arial" w:hAnsi="Arial"/>
                <w:b/>
                <w:bCs/>
                <w:i w:val="false"/>
                <w:iCs w:val="false"/>
                <w:color w:val="5B3FA0"/>
                <w:sz w:val="17"/>
                <w:szCs w:val="17"/>
              </w:rPr>
              <w:t xml:space="preserve">Industrials</w:t>
            </w:r>
          </w:p>
        </w:tc>
        <w:tc>
          <w:tcPr>
            <w:tcW w:type="dxa" w:w="840"/>
            <w:tcBorders>
              <w:top w:val="single" w:color="D0D5DD" w:sz="1"/>
              <w:left w:val="single" w:color="D0D5DD" w:sz="1"/>
              <w:bottom w:val="single" w:color="D0D5DD" w:sz="1"/>
              <w:right w:val="single" w:color="D0D5DD" w:sz="1"/>
            </w:tcBorders>
            <w:shd w:fill="EAE4F7" w:val="clear"/>
            <w:tcMar>
              <w:top w:type="dxa" w:w="85"/>
              <w:left w:type="dxa" w:w="120"/>
              <w:bottom w:type="dxa" w:w="85"/>
              <w:right w:type="dxa" w:w="120"/>
            </w:tcMar>
          </w:tcPr>
          <w:p>
            <w:pPr>
              <w:jc w:val="left"/>
            </w:pPr>
            <w:r>
              <w:rPr>
                <w:rFonts w:ascii="Arial" w:cs="Arial" w:eastAsia="Arial" w:hAnsi="Arial"/>
                <w:b w:val="false"/>
                <w:bCs w:val="false"/>
                <w:i w:val="false"/>
                <w:iCs w:val="false"/>
                <w:color w:val="555555"/>
                <w:sz w:val="17"/>
                <w:szCs w:val="17"/>
              </w:rPr>
              <w:t xml:space="preserve">NASDAQ</w:t>
            </w:r>
          </w:p>
        </w:tc>
        <w:tc>
          <w:tcPr>
            <w:tcW w:type="dxa" w:w="780"/>
            <w:tcBorders>
              <w:top w:val="single" w:color="D0D5DD" w:sz="1"/>
              <w:left w:val="single" w:color="D0D5DD" w:sz="1"/>
              <w:bottom w:val="single" w:color="D0D5DD" w:sz="1"/>
              <w:right w:val="single" w:color="D0D5DD" w:sz="1"/>
            </w:tcBorders>
            <w:shd w:fill="EAE4F7" w:val="clear"/>
            <w:tcMar>
              <w:top w:type="dxa" w:w="85"/>
              <w:left w:type="dxa" w:w="120"/>
              <w:bottom w:type="dxa" w:w="85"/>
              <w:right w:type="dxa" w:w="120"/>
            </w:tcMar>
          </w:tcPr>
          <w:p>
            <w:pPr>
              <w:jc w:val="center"/>
            </w:pPr>
            <w:r>
              <w:rPr>
                <w:rFonts w:ascii="Arial" w:cs="Arial" w:eastAsia="Arial" w:hAnsi="Arial"/>
                <w:b/>
                <w:bCs/>
                <w:i w:val="false"/>
                <w:iCs w:val="false"/>
                <w:color w:val="1B2A4A"/>
                <w:sz w:val="19"/>
                <w:szCs w:val="19"/>
              </w:rPr>
              <w:t xml:space="preserve">2%</w:t>
            </w:r>
          </w:p>
        </w:tc>
        <w:tc>
          <w:tcPr>
            <w:tcW w:type="dxa" w:w="2280"/>
            <w:tcBorders>
              <w:top w:val="single" w:color="D0D5DD" w:sz="1"/>
              <w:left w:val="single" w:color="D0D5DD" w:sz="1"/>
              <w:bottom w:val="single" w:color="D0D5DD" w:sz="1"/>
              <w:right w:val="single" w:color="D0D5DD" w:sz="1"/>
            </w:tcBorders>
            <w:shd w:fill="EAE4F7" w:val="clear"/>
            <w:tcMar>
              <w:top w:type="dxa" w:w="85"/>
              <w:left w:type="dxa" w:w="120"/>
              <w:bottom w:type="dxa" w:w="85"/>
              <w:right w:type="dxa" w:w="120"/>
            </w:tcMar>
          </w:tcPr>
          <w:p>
            <w:pPr>
              <w:jc w:val="left"/>
            </w:pPr>
            <w:r>
              <w:rPr>
                <w:rFonts w:ascii="Arial" w:cs="Arial" w:eastAsia="Arial" w:hAnsi="Arial"/>
                <w:b w:val="false"/>
                <w:bCs w:val="false"/>
                <w:i w:val="false"/>
                <w:iCs w:val="false"/>
                <w:color w:val="555555"/>
                <w:sz w:val="16"/>
                <w:szCs w:val="16"/>
              </w:rPr>
              <w:t xml:space="preserve">Diversified automation + aerospace; stable margin profile</w:t>
            </w:r>
          </w:p>
        </w:tc>
      </w:tr>
      <w:tr>
        <w:tc>
          <w:tcPr>
            <w:tcW w:type="dxa" w:w="78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pPr>
              <w:jc w:val="center"/>
            </w:pPr>
            <w:r>
              <w:rPr>
                <w:rFonts w:ascii="Arial" w:cs="Arial" w:eastAsia="Arial" w:hAnsi="Arial"/>
                <w:b w:val="false"/>
                <w:bCs w:val="false"/>
                <w:i w:val="false"/>
                <w:iCs w:val="false"/>
                <w:color w:val="555555"/>
                <w:sz w:val="18"/>
                <w:szCs w:val="18"/>
              </w:rPr>
              <w:t xml:space="preserve">25</w:t>
            </w:r>
          </w:p>
        </w:tc>
        <w:tc>
          <w:tcPr>
            <w:tcW w:type="dxa" w:w="312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r>
              <w:rPr>
                <w:rFonts w:ascii="Arial" w:cs="Arial" w:eastAsia="Arial" w:hAnsi="Arial"/>
                <w:b/>
                <w:bCs/>
                <w:color w:val="5B3FA0"/>
                <w:sz w:val="19"/>
                <w:szCs w:val="19"/>
              </w:rPr>
              <w:t xml:space="preserve">RTX</w:t>
            </w:r>
          </w:p>
          <w:p>
            <w:r>
              <w:rPr>
                <w:rFonts w:ascii="Arial" w:cs="Arial" w:eastAsia="Arial" w:hAnsi="Arial"/>
                <w:color w:val="555555"/>
                <w:sz w:val="17"/>
                <w:szCs w:val="17"/>
              </w:rPr>
              <w:t xml:space="preserve">RTX Corp.</w:t>
            </w:r>
          </w:p>
        </w:tc>
        <w:tc>
          <w:tcPr>
            <w:tcW w:type="dxa" w:w="156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pPr>
              <w:jc w:val="left"/>
            </w:pPr>
            <w:r>
              <w:rPr>
                <w:rFonts w:ascii="Arial" w:cs="Arial" w:eastAsia="Arial" w:hAnsi="Arial"/>
                <w:b/>
                <w:bCs/>
                <w:i w:val="false"/>
                <w:iCs w:val="false"/>
                <w:color w:val="5B3FA0"/>
                <w:sz w:val="17"/>
                <w:szCs w:val="17"/>
              </w:rPr>
              <w:t xml:space="preserve">Industrials</w:t>
            </w:r>
          </w:p>
        </w:tc>
        <w:tc>
          <w:tcPr>
            <w:tcW w:type="dxa" w:w="84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pPr>
              <w:jc w:val="left"/>
            </w:pPr>
            <w:r>
              <w:rPr>
                <w:rFonts w:ascii="Arial" w:cs="Arial" w:eastAsia="Arial" w:hAnsi="Arial"/>
                <w:b w:val="false"/>
                <w:bCs w:val="false"/>
                <w:i w:val="false"/>
                <w:iCs w:val="false"/>
                <w:color w:val="555555"/>
                <w:sz w:val="17"/>
                <w:szCs w:val="17"/>
              </w:rPr>
              <w:t xml:space="preserve">NYSE</w:t>
            </w:r>
          </w:p>
        </w:tc>
        <w:tc>
          <w:tcPr>
            <w:tcW w:type="dxa" w:w="78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pPr>
              <w:jc w:val="center"/>
            </w:pPr>
            <w:r>
              <w:rPr>
                <w:rFonts w:ascii="Arial" w:cs="Arial" w:eastAsia="Arial" w:hAnsi="Arial"/>
                <w:b/>
                <w:bCs/>
                <w:i w:val="false"/>
                <w:iCs w:val="false"/>
                <w:color w:val="1B2A4A"/>
                <w:sz w:val="19"/>
                <w:szCs w:val="19"/>
              </w:rPr>
              <w:t xml:space="preserve">2%</w:t>
            </w:r>
          </w:p>
        </w:tc>
        <w:tc>
          <w:tcPr>
            <w:tcW w:type="dxa" w:w="228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pPr>
              <w:jc w:val="left"/>
            </w:pPr>
            <w:r>
              <w:rPr>
                <w:rFonts w:ascii="Arial" w:cs="Arial" w:eastAsia="Arial" w:hAnsi="Arial"/>
                <w:b w:val="false"/>
                <w:bCs w:val="false"/>
                <w:i w:val="false"/>
                <w:iCs w:val="false"/>
                <w:color w:val="555555"/>
                <w:sz w:val="16"/>
                <w:szCs w:val="16"/>
              </w:rPr>
              <w:t xml:space="preserve">Defence + commercial aerospace; backlog-driven visibility</w:t>
            </w:r>
          </w:p>
        </w:tc>
      </w:tr>
    </w:tbl>
    <w:p>
      <w:pPr>
        <w:spacing w:after="0" w:before="80"/>
      </w:pPr>
    </w:p>
    <w:p>
      <w:r>
        <w:rPr>
          <w:rFonts w:ascii="Arial" w:cs="Arial" w:eastAsia="Arial" w:hAnsi="Arial"/>
          <w:color w:val="555555"/>
          <w:sz w:val="18"/>
          <w:szCs w:val="18"/>
        </w:rPr>
        <w:t xml:space="preserve">Weight sum verification: 6+6+5+5+4+4 + 5+5+4+4+4+3 + 5+5+4+3+3 + 5+4+3+3 + 3+3+2+2 = </w:t>
      </w:r>
      <w:r>
        <w:rPr>
          <w:rFonts w:ascii="Arial" w:cs="Arial" w:eastAsia="Arial" w:hAnsi="Arial"/>
          <w:b/>
          <w:bCs/>
          <w:color w:val="1E6B3C"/>
          <w:sz w:val="18"/>
          <w:szCs w:val="18"/>
        </w:rPr>
        <w:t xml:space="preserve">100%</w:t>
      </w:r>
    </w:p>
    <w:p>
      <w:pPr>
        <w:spacing w:after="0" w:before="140"/>
      </w:pPr>
    </w:p>
    <w:p>
      <w:pPr>
        <w:spacing w:after="0" w:before="200"/>
      </w:pPr>
    </w:p>
    <w:p>
      <w:pPr>
        <w:spacing w:after="60" w:before="0"/>
      </w:pPr>
      <w:r>
        <w:rPr>
          <w:rFonts w:ascii="Arial" w:cs="Arial" w:eastAsia="Arial" w:hAnsi="Arial"/>
          <w:b/>
          <w:bCs/>
          <w:color w:val="C8861A"/>
          <w:sz w:val="27"/>
          <w:szCs w:val="27"/>
        </w:rPr>
        <w:t xml:space="preserve">05  </w:t>
      </w:r>
      <w:r>
        <w:rPr>
          <w:rFonts w:ascii="Arial" w:cs="Arial" w:eastAsia="Arial" w:hAnsi="Arial"/>
          <w:b/>
          <w:bCs/>
          <w:color w:val="1B2A4A"/>
          <w:sz w:val="27"/>
          <w:szCs w:val="27"/>
        </w:rPr>
        <w:t xml:space="preserve">Finance Concepts Applied</w:t>
      </w:r>
    </w:p>
    <w:p>
      <w:pPr>
        <w:pBdr>
          <w:bottom w:val="single" w:color="2E5FA3" w:sz="8" w:space="1"/>
        </w:pBdr>
        <w:spacing w:after="120" w:before="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0D5DD" w:sz="1"/>
              <w:left w:val="single" w:color="D0D5DD" w:sz="1"/>
              <w:bottom w:val="single" w:color="D0D5DD" w:sz="1"/>
              <w:right w:val="single" w:color="D0D5DD" w:sz="1"/>
            </w:tcBorders>
            <w:shd w:fill="1B2A4A" w:val="clear"/>
            <w:tcMar>
              <w:top w:type="dxa" w:w="85"/>
              <w:left w:type="dxa" w:w="120"/>
              <w:bottom w:type="dxa" w:w="85"/>
              <w:right w:type="dxa" w:w="120"/>
            </w:tcMar>
          </w:tcPr>
          <w:p>
            <w:pPr>
              <w:jc w:val="left"/>
            </w:pPr>
            <w:r>
              <w:rPr>
                <w:rFonts w:ascii="Arial" w:cs="Arial" w:eastAsia="Arial" w:hAnsi="Arial"/>
                <w:b/>
                <w:bCs/>
                <w:i w:val="false"/>
                <w:iCs w:val="false"/>
                <w:color w:val="FFFFFF"/>
                <w:sz w:val="18"/>
                <w:szCs w:val="18"/>
              </w:rPr>
              <w:t xml:space="preserve">Concept</w:t>
            </w:r>
          </w:p>
        </w:tc>
        <w:tc>
          <w:tcPr>
            <w:tcW w:type="dxa" w:w="7020"/>
            <w:tcBorders>
              <w:top w:val="single" w:color="D0D5DD" w:sz="1"/>
              <w:left w:val="single" w:color="D0D5DD" w:sz="1"/>
              <w:bottom w:val="single" w:color="D0D5DD" w:sz="1"/>
              <w:right w:val="single" w:color="D0D5DD" w:sz="1"/>
            </w:tcBorders>
            <w:shd w:fill="1B2A4A" w:val="clear"/>
            <w:tcMar>
              <w:top w:type="dxa" w:w="85"/>
              <w:left w:type="dxa" w:w="120"/>
              <w:bottom w:type="dxa" w:w="85"/>
              <w:right w:type="dxa" w:w="120"/>
            </w:tcMar>
          </w:tcPr>
          <w:p>
            <w:pPr>
              <w:jc w:val="left"/>
            </w:pPr>
            <w:r>
              <w:rPr>
                <w:rFonts w:ascii="Arial" w:cs="Arial" w:eastAsia="Arial" w:hAnsi="Arial"/>
                <w:b/>
                <w:bCs/>
                <w:i w:val="false"/>
                <w:iCs w:val="false"/>
                <w:color w:val="FFFFFF"/>
                <w:sz w:val="18"/>
                <w:szCs w:val="18"/>
              </w:rPr>
              <w:t xml:space="preserve">How it applies to this portfolio</w:t>
            </w:r>
          </w:p>
        </w:tc>
      </w:tr>
      <w:tr>
        <w:tc>
          <w:tcPr>
            <w:tcW w:type="dxa" w:w="2340"/>
            <w:tcBorders>
              <w:top w:val="single" w:color="D0D5DD" w:sz="1"/>
              <w:left w:val="single" w:color="D0D5DD" w:sz="1"/>
              <w:bottom w:val="single" w:color="D0D5DD" w:sz="1"/>
              <w:right w:val="single" w:color="D0D5DD" w:sz="1"/>
            </w:tcBorders>
            <w:shd w:fill="F4F6F8" w:val="clear"/>
            <w:tcMar>
              <w:top w:type="dxa" w:w="85"/>
              <w:left w:type="dxa" w:w="120"/>
              <w:bottom w:type="dxa" w:w="85"/>
              <w:right w:type="dxa" w:w="120"/>
            </w:tcMar>
          </w:tcPr>
          <w:p>
            <w:pPr>
              <w:jc w:val="left"/>
            </w:pPr>
            <w:r>
              <w:rPr>
                <w:rFonts w:ascii="Arial" w:cs="Arial" w:eastAsia="Arial" w:hAnsi="Arial"/>
                <w:b/>
                <w:bCs/>
                <w:i w:val="false"/>
                <w:iCs w:val="false"/>
                <w:color w:val="1B2A4A"/>
                <w:sz w:val="18"/>
                <w:szCs w:val="18"/>
              </w:rPr>
              <w:t xml:space="preserve">Portfolio weight</w:t>
            </w:r>
          </w:p>
        </w:tc>
        <w:tc>
          <w:tcPr>
            <w:tcW w:type="dxa" w:w="7020"/>
            <w:tcBorders>
              <w:top w:val="single" w:color="D0D5DD" w:sz="1"/>
              <w:left w:val="single" w:color="D0D5DD" w:sz="1"/>
              <w:bottom w:val="single" w:color="D0D5DD" w:sz="1"/>
              <w:right w:val="single" w:color="D0D5DD" w:sz="1"/>
            </w:tcBorders>
            <w:shd w:fill="F4F6F8" w:val="clear"/>
            <w:tcMar>
              <w:top w:type="dxa" w:w="85"/>
              <w:left w:type="dxa" w:w="120"/>
              <w:bottom w:type="dxa" w:w="85"/>
              <w:right w:type="dxa" w:w="120"/>
            </w:tcMar>
          </w:tcPr>
          <w:p>
            <w:pPr>
              <w:jc w:val="left"/>
            </w:pPr>
            <w:r>
              <w:rPr>
                <w:rFonts w:ascii="Arial" w:cs="Arial" w:eastAsia="Arial" w:hAnsi="Arial"/>
                <w:b w:val="false"/>
                <w:bCs w:val="false"/>
                <w:i w:val="false"/>
                <w:iCs w:val="false"/>
                <w:color w:val="555555"/>
                <w:sz w:val="18"/>
                <w:szCs w:val="18"/>
              </w:rPr>
              <w:t xml:space="preserve">Each stock's weight = fraction of total capital invested. A 6% weight in AAPL means 6 cents of every dollar goes to Apple. Weights must sum to exactly 1.0 (100%)</w:t>
            </w:r>
          </w:p>
        </w:tc>
      </w:tr>
      <w:tr>
        <w:tc>
          <w:tcPr>
            <w:tcW w:type="dxa" w:w="234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pPr>
              <w:jc w:val="left"/>
            </w:pPr>
            <w:r>
              <w:rPr>
                <w:rFonts w:ascii="Arial" w:cs="Arial" w:eastAsia="Arial" w:hAnsi="Arial"/>
                <w:b/>
                <w:bCs/>
                <w:i w:val="false"/>
                <w:iCs w:val="false"/>
                <w:color w:val="1B2A4A"/>
                <w:sz w:val="18"/>
                <w:szCs w:val="18"/>
              </w:rPr>
              <w:t xml:space="preserve">Weighted average return</w:t>
            </w:r>
          </w:p>
        </w:tc>
        <w:tc>
          <w:tcPr>
            <w:tcW w:type="dxa" w:w="702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pPr>
              <w:jc w:val="left"/>
            </w:pPr>
            <w:r>
              <w:rPr>
                <w:rFonts w:ascii="Arial" w:cs="Arial" w:eastAsia="Arial" w:hAnsi="Arial"/>
                <w:b w:val="false"/>
                <w:bCs w:val="false"/>
                <w:i w:val="false"/>
                <w:iCs w:val="false"/>
                <w:color w:val="555555"/>
                <w:sz w:val="18"/>
                <w:szCs w:val="18"/>
              </w:rPr>
              <w:t xml:space="preserve">Daily portfolio return = Σ (weight_i × return_i). A 1% AAPL gain contributes 0.06% to portfolio return. A 1% XOM gain contributes only 0.05%</w:t>
            </w:r>
          </w:p>
        </w:tc>
      </w:tr>
      <w:tr>
        <w:tc>
          <w:tcPr>
            <w:tcW w:type="dxa" w:w="2340"/>
            <w:tcBorders>
              <w:top w:val="single" w:color="D0D5DD" w:sz="1"/>
              <w:left w:val="single" w:color="D0D5DD" w:sz="1"/>
              <w:bottom w:val="single" w:color="D0D5DD" w:sz="1"/>
              <w:right w:val="single" w:color="D0D5DD" w:sz="1"/>
            </w:tcBorders>
            <w:shd w:fill="F4F6F8" w:val="clear"/>
            <w:tcMar>
              <w:top w:type="dxa" w:w="85"/>
              <w:left w:type="dxa" w:w="120"/>
              <w:bottom w:type="dxa" w:w="85"/>
              <w:right w:type="dxa" w:w="120"/>
            </w:tcMar>
          </w:tcPr>
          <w:p>
            <w:pPr>
              <w:jc w:val="left"/>
            </w:pPr>
            <w:r>
              <w:rPr>
                <w:rFonts w:ascii="Arial" w:cs="Arial" w:eastAsia="Arial" w:hAnsi="Arial"/>
                <w:b/>
                <w:bCs/>
                <w:i w:val="false"/>
                <w:iCs w:val="false"/>
                <w:color w:val="1B2A4A"/>
                <w:sz w:val="18"/>
                <w:szCs w:val="18"/>
              </w:rPr>
              <w:t xml:space="preserve">Concentration risk</w:t>
            </w:r>
          </w:p>
        </w:tc>
        <w:tc>
          <w:tcPr>
            <w:tcW w:type="dxa" w:w="7020"/>
            <w:tcBorders>
              <w:top w:val="single" w:color="D0D5DD" w:sz="1"/>
              <w:left w:val="single" w:color="D0D5DD" w:sz="1"/>
              <w:bottom w:val="single" w:color="D0D5DD" w:sz="1"/>
              <w:right w:val="single" w:color="D0D5DD" w:sz="1"/>
            </w:tcBorders>
            <w:shd w:fill="F4F6F8" w:val="clear"/>
            <w:tcMar>
              <w:top w:type="dxa" w:w="85"/>
              <w:left w:type="dxa" w:w="120"/>
              <w:bottom w:type="dxa" w:w="85"/>
              <w:right w:type="dxa" w:w="120"/>
            </w:tcMar>
          </w:tcPr>
          <w:p>
            <w:pPr>
              <w:jc w:val="left"/>
            </w:pPr>
            <w:r>
              <w:rPr>
                <w:rFonts w:ascii="Arial" w:cs="Arial" w:eastAsia="Arial" w:hAnsi="Arial"/>
                <w:b w:val="false"/>
                <w:bCs w:val="false"/>
                <w:i w:val="false"/>
                <w:iCs w:val="false"/>
                <w:color w:val="555555"/>
                <w:sz w:val="18"/>
                <w:szCs w:val="18"/>
              </w:rPr>
              <w:t xml:space="preserve">No position exceeds 6%. If one stock collapses, maximum direct damage is capped at 6% of NAV before correlations are considered</w:t>
            </w:r>
          </w:p>
        </w:tc>
      </w:tr>
      <w:tr>
        <w:tc>
          <w:tcPr>
            <w:tcW w:type="dxa" w:w="234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pPr>
              <w:jc w:val="left"/>
            </w:pPr>
            <w:r>
              <w:rPr>
                <w:rFonts w:ascii="Arial" w:cs="Arial" w:eastAsia="Arial" w:hAnsi="Arial"/>
                <w:b/>
                <w:bCs/>
                <w:i w:val="false"/>
                <w:iCs w:val="false"/>
                <w:color w:val="1B2A4A"/>
                <w:sz w:val="18"/>
                <w:szCs w:val="18"/>
              </w:rPr>
              <w:t xml:space="preserve">Sector tilts</w:t>
            </w:r>
          </w:p>
        </w:tc>
        <w:tc>
          <w:tcPr>
            <w:tcW w:type="dxa" w:w="702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pPr>
              <w:jc w:val="left"/>
            </w:pPr>
            <w:r>
              <w:rPr>
                <w:rFonts w:ascii="Arial" w:cs="Arial" w:eastAsia="Arial" w:hAnsi="Arial"/>
                <w:b w:val="false"/>
                <w:bCs w:val="false"/>
                <w:i w:val="false"/>
                <w:iCs w:val="false"/>
                <w:color w:val="555555"/>
                <w:sz w:val="18"/>
                <w:szCs w:val="18"/>
              </w:rPr>
              <w:t xml:space="preserve">Overweighting Technology (30%) means portfolio beta and volatility will be pulled upward versus an equal-weight allocation. Healthcare (20%) dampens this</w:t>
            </w:r>
          </w:p>
        </w:tc>
      </w:tr>
      <w:tr>
        <w:tc>
          <w:tcPr>
            <w:tcW w:type="dxa" w:w="2340"/>
            <w:tcBorders>
              <w:top w:val="single" w:color="D0D5DD" w:sz="1"/>
              <w:left w:val="single" w:color="D0D5DD" w:sz="1"/>
              <w:bottom w:val="single" w:color="D0D5DD" w:sz="1"/>
              <w:right w:val="single" w:color="D0D5DD" w:sz="1"/>
            </w:tcBorders>
            <w:shd w:fill="F4F6F8" w:val="clear"/>
            <w:tcMar>
              <w:top w:type="dxa" w:w="85"/>
              <w:left w:type="dxa" w:w="120"/>
              <w:bottom w:type="dxa" w:w="85"/>
              <w:right w:type="dxa" w:w="120"/>
            </w:tcMar>
          </w:tcPr>
          <w:p>
            <w:pPr>
              <w:jc w:val="left"/>
            </w:pPr>
            <w:r>
              <w:rPr>
                <w:rFonts w:ascii="Arial" w:cs="Arial" w:eastAsia="Arial" w:hAnsi="Arial"/>
                <w:b/>
                <w:bCs/>
                <w:i w:val="false"/>
                <w:iCs w:val="false"/>
                <w:color w:val="1B2A4A"/>
                <w:sz w:val="18"/>
                <w:szCs w:val="18"/>
              </w:rPr>
              <w:t xml:space="preserve">Benchmark comparison</w:t>
            </w:r>
          </w:p>
        </w:tc>
        <w:tc>
          <w:tcPr>
            <w:tcW w:type="dxa" w:w="7020"/>
            <w:tcBorders>
              <w:top w:val="single" w:color="D0D5DD" w:sz="1"/>
              <w:left w:val="single" w:color="D0D5DD" w:sz="1"/>
              <w:bottom w:val="single" w:color="D0D5DD" w:sz="1"/>
              <w:right w:val="single" w:color="D0D5DD" w:sz="1"/>
            </w:tcBorders>
            <w:shd w:fill="F4F6F8" w:val="clear"/>
            <w:tcMar>
              <w:top w:type="dxa" w:w="85"/>
              <w:left w:type="dxa" w:w="120"/>
              <w:bottom w:type="dxa" w:w="85"/>
              <w:right w:type="dxa" w:w="120"/>
            </w:tcMar>
          </w:tcPr>
          <w:p>
            <w:pPr>
              <w:jc w:val="left"/>
            </w:pPr>
            <w:r>
              <w:rPr>
                <w:rFonts w:ascii="Arial" w:cs="Arial" w:eastAsia="Arial" w:hAnsi="Arial"/>
                <w:b w:val="false"/>
                <w:bCs w:val="false"/>
                <w:i w:val="false"/>
                <w:iCs w:val="false"/>
                <w:color w:val="555555"/>
                <w:sz w:val="18"/>
                <w:szCs w:val="18"/>
              </w:rPr>
              <w:t xml:space="preserve">SPY tracks the S&amp;P 500 market-cap weighted index. Our equal-tilt portfolio will diverge from SPY — tracking error measures this divergence over time</w:t>
            </w:r>
          </w:p>
        </w:tc>
      </w:tr>
      <w:tr>
        <w:tc>
          <w:tcPr>
            <w:tcW w:type="dxa" w:w="234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pPr>
              <w:jc w:val="left"/>
            </w:pPr>
            <w:r>
              <w:rPr>
                <w:rFonts w:ascii="Arial" w:cs="Arial" w:eastAsia="Arial" w:hAnsi="Arial"/>
                <w:b/>
                <w:bCs/>
                <w:i w:val="false"/>
                <w:iCs w:val="false"/>
                <w:color w:val="1B2A4A"/>
                <w:sz w:val="18"/>
                <w:szCs w:val="18"/>
              </w:rPr>
              <w:t xml:space="preserve">Diversification</w:t>
            </w:r>
          </w:p>
        </w:tc>
        <w:tc>
          <w:tcPr>
            <w:tcW w:type="dxa" w:w="702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pPr>
              <w:jc w:val="left"/>
            </w:pPr>
            <w:r>
              <w:rPr>
                <w:rFonts w:ascii="Arial" w:cs="Arial" w:eastAsia="Arial" w:hAnsi="Arial"/>
                <w:b w:val="false"/>
                <w:bCs w:val="false"/>
                <w:i w:val="false"/>
                <w:iCs w:val="false"/>
                <w:color w:val="555555"/>
                <w:sz w:val="18"/>
                <w:szCs w:val="18"/>
              </w:rPr>
              <w:t xml:space="preserve">Combining Energy, Healthcare and Industrials with Technology and Financials reduces the correlation structure. A sector rotation out of tech hurts less when defensives hold up</w:t>
            </w:r>
          </w:p>
        </w:tc>
      </w:tr>
    </w:tbl>
    <w:p>
      <w:pPr>
        <w:spacing w:after="0" w:before="140"/>
      </w:pPr>
    </w:p>
    <w:p>
      <w:pPr>
        <w:spacing w:after="0" w:before="200"/>
      </w:pPr>
    </w:p>
    <w:p>
      <w:pPr>
        <w:spacing w:after="60" w:before="0"/>
      </w:pPr>
      <w:r>
        <w:rPr>
          <w:rFonts w:ascii="Arial" w:cs="Arial" w:eastAsia="Arial" w:hAnsi="Arial"/>
          <w:b/>
          <w:bCs/>
          <w:color w:val="C8861A"/>
          <w:sz w:val="27"/>
          <w:szCs w:val="27"/>
        </w:rPr>
        <w:t xml:space="preserve">06  </w:t>
      </w:r>
      <w:r>
        <w:rPr>
          <w:rFonts w:ascii="Arial" w:cs="Arial" w:eastAsia="Arial" w:hAnsi="Arial"/>
          <w:b/>
          <w:bCs/>
          <w:color w:val="1B2A4A"/>
          <w:sz w:val="27"/>
          <w:szCs w:val="27"/>
        </w:rPr>
        <w:t xml:space="preserve">Python Seed Script — portfolio_universe.py</w:t>
      </w:r>
    </w:p>
    <w:p>
      <w:pPr>
        <w:pBdr>
          <w:bottom w:val="single" w:color="2E5FA3" w:sz="8" w:space="1"/>
        </w:pBdr>
        <w:spacing w:after="120" w:before="0"/>
      </w:pPr>
    </w:p>
    <w:p>
      <w:pPr>
        <w:spacing w:after="0" w:before="80"/>
      </w:pPr>
    </w:p>
    <w:p>
      <w:pPr>
        <w:spacing w:after="80" w:before="0"/>
      </w:pPr>
      <w:r>
        <w:rPr>
          <w:rFonts w:ascii="Arial" w:cs="Arial" w:eastAsia="Arial" w:hAnsi="Arial"/>
          <w:color w:val="0A0A0A"/>
          <w:sz w:val="19"/>
          <w:szCs w:val="19"/>
        </w:rPr>
        <w:t xml:space="preserve">This script inserts all sectors, stocks, and portfolio weights into the SQLite database created in Step 2. It is idempotent — running it twice will not create duplicates because of the </w:t>
      </w:r>
      <w:r>
        <w:rPr>
          <w:rFonts w:ascii="Arial" w:cs="Arial" w:eastAsia="Arial" w:hAnsi="Arial"/>
          <w:i/>
          <w:iCs/>
          <w:color w:val="1A7A6E"/>
          <w:sz w:val="19"/>
          <w:szCs w:val="19"/>
        </w:rPr>
        <w:t xml:space="preserve">INSERT OR IGNORE</w:t>
      </w:r>
      <w:r>
        <w:rPr>
          <w:rFonts w:ascii="Arial" w:cs="Arial" w:eastAsia="Arial" w:hAnsi="Arial"/>
          <w:color w:val="0A0A0A"/>
          <w:sz w:val="19"/>
          <w:szCs w:val="19"/>
        </w:rPr>
        <w:t xml:space="preserve"> pattern. The weight assertion at the bottom acts as a built-in sanity check.</w:t>
      </w:r>
    </w:p>
    <w:p>
      <w:pPr>
        <w:shd w:fill="1E1E2E" w:val="clear"/>
        <w:spacing w:after="0" w:before="0"/>
      </w:pPr>
      <w:r>
        <w:rPr>
          <w:color w:val="1E1E2E"/>
          <w:sz w:val="8"/>
          <w:szCs w:val="8"/>
        </w:rPr>
        <w:t xml:space="preserve"> </w:t>
      </w:r>
    </w:p>
    <w:p>
      <w:pPr>
        <w:shd w:fill="1E1E2E" w:val="clear"/>
        <w:spacing w:after="0" w:before="0" w:line="295"/>
      </w:pPr>
      <w:r>
        <w:rPr>
          <w:rFonts w:ascii="Courier New" w:cs="Courier New" w:eastAsia="Courier New" w:hAnsi="Courier New"/>
          <w:color w:val="CDD6F4"/>
          <w:sz w:val="17"/>
          <w:szCs w:val="17"/>
        </w:rPr>
        <w:t xml:space="preserve"># portfolio_universe.py</w:t>
      </w:r>
    </w:p>
    <w:p>
      <w:pPr>
        <w:shd w:fill="1E1E2E" w:val="clear"/>
        <w:spacing w:after="0" w:before="0" w:line="295"/>
      </w:pPr>
      <w:r>
        <w:rPr>
          <w:rFonts w:ascii="Courier New" w:cs="Courier New" w:eastAsia="Courier New" w:hAnsi="Courier New"/>
          <w:color w:val="CDD6F4"/>
          <w:sz w:val="17"/>
          <w:szCs w:val="17"/>
        </w:rPr>
        <w:t xml:space="preserve"># Step 3 — Stock universe and portfolio weights</w:t>
      </w:r>
    </w:p>
    <w:p>
      <w:pPr>
        <w:shd w:fill="1E1E2E" w:val="clear"/>
        <w:spacing w:after="0" w:before="0" w:line="295"/>
      </w:pPr>
      <w:r>
        <w:rPr>
          <w:rFonts w:ascii="Courier New" w:cs="Courier New" w:eastAsia="Courier New" w:hAnsi="Courier New"/>
          <w:color w:val="CDD6F4"/>
          <w:sz w:val="17"/>
          <w:szCs w:val="17"/>
        </w:rPr>
        <w:t xml:space="preserve">import sqlite3, datetime</w:t>
      </w:r>
    </w:p>
    <w:p>
      <w:pPr>
        <w:shd w:fill="1E1E2E" w:val="clear"/>
        <w:spacing w:after="0" w:before="0" w:line="295"/>
      </w:pPr>
      <w:r>
        <w:rPr>
          <w:rFonts w:ascii="Courier New" w:cs="Courier New" w:eastAsia="Courier New" w:hAnsi="Courier New"/>
          <w:color w:val="CDD6F4"/>
          <w:sz w:val="17"/>
          <w:szCs w:val="17"/>
        </w:rPr>
        <w:t xml:space="preserve"> </w:t>
      </w:r>
    </w:p>
    <w:p>
      <w:pPr>
        <w:shd w:fill="1E1E2E" w:val="clear"/>
        <w:spacing w:after="0" w:before="0" w:line="295"/>
      </w:pPr>
      <w:r>
        <w:rPr>
          <w:rFonts w:ascii="Courier New" w:cs="Courier New" w:eastAsia="Courier New" w:hAnsi="Courier New"/>
          <w:color w:val="CDD6F4"/>
          <w:sz w:val="17"/>
          <w:szCs w:val="17"/>
        </w:rPr>
        <w:t xml:space="preserve">DB_PATH = 'stocks.db'</w:t>
      </w:r>
    </w:p>
    <w:p>
      <w:pPr>
        <w:shd w:fill="1E1E2E" w:val="clear"/>
        <w:spacing w:after="0" w:before="0" w:line="295"/>
      </w:pPr>
      <w:r>
        <w:rPr>
          <w:rFonts w:ascii="Courier New" w:cs="Courier New" w:eastAsia="Courier New" w:hAnsi="Courier New"/>
          <w:color w:val="CDD6F4"/>
          <w:sz w:val="17"/>
          <w:szCs w:val="17"/>
        </w:rPr>
        <w:t xml:space="preserve"> </w:t>
      </w:r>
    </w:p>
    <w:p>
      <w:pPr>
        <w:shd w:fill="1E1E2E" w:val="clear"/>
        <w:spacing w:after="0" w:before="0" w:line="295"/>
      </w:pPr>
      <w:r>
        <w:rPr>
          <w:rFonts w:ascii="Courier New" w:cs="Courier New" w:eastAsia="Courier New" w:hAnsi="Courier New"/>
          <w:color w:val="CDD6F4"/>
          <w:sz w:val="17"/>
          <w:szCs w:val="17"/>
        </w:rPr>
        <w:t xml:space="preserve">SECTORS = [</w:t>
      </w:r>
    </w:p>
    <w:p>
      <w:pPr>
        <w:shd w:fill="1E1E2E" w:val="clear"/>
        <w:spacing w:after="0" w:before="0" w:line="295"/>
      </w:pPr>
      <w:r>
        <w:rPr>
          <w:rFonts w:ascii="Courier New" w:cs="Courier New" w:eastAsia="Courier New" w:hAnsi="Courier New"/>
          <w:color w:val="CDD6F4"/>
          <w:sz w:val="17"/>
          <w:szCs w:val="17"/>
        </w:rPr>
        <w:t xml:space="preserve">    'Technology', 'Financials', 'Healthcare', 'Energy', 'Industrials'</w:t>
      </w:r>
    </w:p>
    <w:p>
      <w:pPr>
        <w:shd w:fill="1E1E2E" w:val="clear"/>
        <w:spacing w:after="0" w:before="0" w:line="295"/>
      </w:pPr>
      <w:r>
        <w:rPr>
          <w:rFonts w:ascii="Courier New" w:cs="Courier New" w:eastAsia="Courier New" w:hAnsi="Courier New"/>
          <w:color w:val="CDD6F4"/>
          <w:sz w:val="17"/>
          <w:szCs w:val="17"/>
        </w:rPr>
        <w:t xml:space="preserve">]</w:t>
      </w:r>
    </w:p>
    <w:p>
      <w:pPr>
        <w:shd w:fill="1E1E2E" w:val="clear"/>
        <w:spacing w:after="0" w:before="0" w:line="295"/>
      </w:pPr>
      <w:r>
        <w:rPr>
          <w:rFonts w:ascii="Courier New" w:cs="Courier New" w:eastAsia="Courier New" w:hAnsi="Courier New"/>
          <w:color w:val="CDD6F4"/>
          <w:sz w:val="17"/>
          <w:szCs w:val="17"/>
        </w:rPr>
        <w:t xml:space="preserve"> </w:t>
      </w:r>
    </w:p>
    <w:p>
      <w:pPr>
        <w:shd w:fill="1E1E2E" w:val="clear"/>
        <w:spacing w:after="0" w:before="0" w:line="295"/>
      </w:pPr>
      <w:r>
        <w:rPr>
          <w:rFonts w:ascii="Courier New" w:cs="Courier New" w:eastAsia="Courier New" w:hAnsi="Courier New"/>
          <w:color w:val="CDD6F4"/>
          <w:sz w:val="17"/>
          <w:szCs w:val="17"/>
        </w:rPr>
        <w:t xml:space="preserve">STOCKS = [</w:t>
      </w:r>
    </w:p>
    <w:p>
      <w:pPr>
        <w:shd w:fill="1E1E2E" w:val="clear"/>
        <w:spacing w:after="0" w:before="0" w:line="295"/>
      </w:pPr>
      <w:r>
        <w:rPr>
          <w:rFonts w:ascii="Courier New" w:cs="Courier New" w:eastAsia="Courier New" w:hAnsi="Courier New"/>
          <w:color w:val="CDD6F4"/>
          <w:sz w:val="17"/>
          <w:szCs w:val="17"/>
        </w:rPr>
        <w:t xml:space="preserve">    # (ticker, company_name,                    sector,         weight)</w:t>
      </w:r>
    </w:p>
    <w:p>
      <w:pPr>
        <w:shd w:fill="1E1E2E" w:val="clear"/>
        <w:spacing w:after="0" w:before="0" w:line="295"/>
      </w:pPr>
      <w:r>
        <w:rPr>
          <w:rFonts w:ascii="Courier New" w:cs="Courier New" w:eastAsia="Courier New" w:hAnsi="Courier New"/>
          <w:color w:val="CDD6F4"/>
          <w:sz w:val="17"/>
          <w:szCs w:val="17"/>
        </w:rPr>
        <w:t xml:space="preserve">    ('AAPL', 'Apple Inc.',                      'Technology',   0.06),</w:t>
      </w:r>
    </w:p>
    <w:p>
      <w:pPr>
        <w:shd w:fill="1E1E2E" w:val="clear"/>
        <w:spacing w:after="0" w:before="0" w:line="295"/>
      </w:pPr>
      <w:r>
        <w:rPr>
          <w:rFonts w:ascii="Courier New" w:cs="Courier New" w:eastAsia="Courier New" w:hAnsi="Courier New"/>
          <w:color w:val="CDD6F4"/>
          <w:sz w:val="17"/>
          <w:szCs w:val="17"/>
        </w:rPr>
        <w:t xml:space="preserve">    ('MSFT', 'Microsoft Corp.',                 'Technology',   0.06),</w:t>
      </w:r>
    </w:p>
    <w:p>
      <w:pPr>
        <w:shd w:fill="1E1E2E" w:val="clear"/>
        <w:spacing w:after="0" w:before="0" w:line="295"/>
      </w:pPr>
      <w:r>
        <w:rPr>
          <w:rFonts w:ascii="Courier New" w:cs="Courier New" w:eastAsia="Courier New" w:hAnsi="Courier New"/>
          <w:color w:val="CDD6F4"/>
          <w:sz w:val="17"/>
          <w:szCs w:val="17"/>
        </w:rPr>
        <w:t xml:space="preserve">    ('NVDA', 'NVIDIA Corp.',                    'Technology',   0.05),</w:t>
      </w:r>
    </w:p>
    <w:p>
      <w:pPr>
        <w:shd w:fill="1E1E2E" w:val="clear"/>
        <w:spacing w:after="0" w:before="0" w:line="295"/>
      </w:pPr>
      <w:r>
        <w:rPr>
          <w:rFonts w:ascii="Courier New" w:cs="Courier New" w:eastAsia="Courier New" w:hAnsi="Courier New"/>
          <w:color w:val="CDD6F4"/>
          <w:sz w:val="17"/>
          <w:szCs w:val="17"/>
        </w:rPr>
        <w:t xml:space="preserve">    ('GOOGL','Alphabet Inc.',                   'Technology',   0.05),</w:t>
      </w:r>
    </w:p>
    <w:p>
      <w:pPr>
        <w:shd w:fill="1E1E2E" w:val="clear"/>
        <w:spacing w:after="0" w:before="0" w:line="295"/>
      </w:pPr>
      <w:r>
        <w:rPr>
          <w:rFonts w:ascii="Courier New" w:cs="Courier New" w:eastAsia="Courier New" w:hAnsi="Courier New"/>
          <w:color w:val="CDD6F4"/>
          <w:sz w:val="17"/>
          <w:szCs w:val="17"/>
        </w:rPr>
        <w:t xml:space="preserve">    ('META', 'Meta Platforms Inc.',             'Technology',   0.04),</w:t>
      </w:r>
    </w:p>
    <w:p>
      <w:pPr>
        <w:shd w:fill="1E1E2E" w:val="clear"/>
        <w:spacing w:after="0" w:before="0" w:line="295"/>
      </w:pPr>
      <w:r>
        <w:rPr>
          <w:rFonts w:ascii="Courier New" w:cs="Courier New" w:eastAsia="Courier New" w:hAnsi="Courier New"/>
          <w:color w:val="CDD6F4"/>
          <w:sz w:val="17"/>
          <w:szCs w:val="17"/>
        </w:rPr>
        <w:t xml:space="preserve">    ('AVGO', 'Broadcom Inc.',                   'Technology',   0.04),</w:t>
      </w:r>
    </w:p>
    <w:p>
      <w:pPr>
        <w:shd w:fill="1E1E2E" w:val="clear"/>
        <w:spacing w:after="0" w:before="0" w:line="295"/>
      </w:pPr>
      <w:r>
        <w:rPr>
          <w:rFonts w:ascii="Courier New" w:cs="Courier New" w:eastAsia="Courier New" w:hAnsi="Courier New"/>
          <w:color w:val="CDD6F4"/>
          <w:sz w:val="17"/>
          <w:szCs w:val="17"/>
        </w:rPr>
        <w:t xml:space="preserve">    ('JPM',  'JPMorgan Chase &amp; Co.',            'Financials',   0.05),</w:t>
      </w:r>
    </w:p>
    <w:p>
      <w:pPr>
        <w:shd w:fill="1E1E2E" w:val="clear"/>
        <w:spacing w:after="0" w:before="0" w:line="295"/>
      </w:pPr>
      <w:r>
        <w:rPr>
          <w:rFonts w:ascii="Courier New" w:cs="Courier New" w:eastAsia="Courier New" w:hAnsi="Courier New"/>
          <w:color w:val="CDD6F4"/>
          <w:sz w:val="17"/>
          <w:szCs w:val="17"/>
        </w:rPr>
        <w:t xml:space="preserve">    ('RY',   'Royal Bank of Canada',            'Financials',   0.05),</w:t>
      </w:r>
    </w:p>
    <w:p>
      <w:pPr>
        <w:shd w:fill="1E1E2E" w:val="clear"/>
        <w:spacing w:after="0" w:before="0" w:line="295"/>
      </w:pPr>
      <w:r>
        <w:rPr>
          <w:rFonts w:ascii="Courier New" w:cs="Courier New" w:eastAsia="Courier New" w:hAnsi="Courier New"/>
          <w:color w:val="CDD6F4"/>
          <w:sz w:val="17"/>
          <w:szCs w:val="17"/>
        </w:rPr>
        <w:t xml:space="preserve">    ('BAC',  'Bank of America Corp.',           'Financials',   0.04),</w:t>
      </w:r>
    </w:p>
    <w:p>
      <w:pPr>
        <w:shd w:fill="1E1E2E" w:val="clear"/>
        <w:spacing w:after="0" w:before="0" w:line="295"/>
      </w:pPr>
      <w:r>
        <w:rPr>
          <w:rFonts w:ascii="Courier New" w:cs="Courier New" w:eastAsia="Courier New" w:hAnsi="Courier New"/>
          <w:color w:val="CDD6F4"/>
          <w:sz w:val="17"/>
          <w:szCs w:val="17"/>
        </w:rPr>
        <w:t xml:space="preserve">    ('TD',   'Toronto-Dominion Bank',           'Financials',   0.04),</w:t>
      </w:r>
    </w:p>
    <w:p>
      <w:pPr>
        <w:shd w:fill="1E1E2E" w:val="clear"/>
        <w:spacing w:after="0" w:before="0" w:line="295"/>
      </w:pPr>
      <w:r>
        <w:rPr>
          <w:rFonts w:ascii="Courier New" w:cs="Courier New" w:eastAsia="Courier New" w:hAnsi="Courier New"/>
          <w:color w:val="CDD6F4"/>
          <w:sz w:val="17"/>
          <w:szCs w:val="17"/>
        </w:rPr>
        <w:t xml:space="preserve">    ('GS',   'Goldman Sachs Group Inc.',        'Financials',   0.04),</w:t>
      </w:r>
    </w:p>
    <w:p>
      <w:pPr>
        <w:shd w:fill="1E1E2E" w:val="clear"/>
        <w:spacing w:after="0" w:before="0" w:line="295"/>
      </w:pPr>
      <w:r>
        <w:rPr>
          <w:rFonts w:ascii="Courier New" w:cs="Courier New" w:eastAsia="Courier New" w:hAnsi="Courier New"/>
          <w:color w:val="CDD6F4"/>
          <w:sz w:val="17"/>
          <w:szCs w:val="17"/>
        </w:rPr>
        <w:t xml:space="preserve">    ('BLK',  'BlackRock Inc.',                  'Financials',   0.03),</w:t>
      </w:r>
    </w:p>
    <w:p>
      <w:pPr>
        <w:shd w:fill="1E1E2E" w:val="clear"/>
        <w:spacing w:after="0" w:before="0" w:line="295"/>
      </w:pPr>
      <w:r>
        <w:rPr>
          <w:rFonts w:ascii="Courier New" w:cs="Courier New" w:eastAsia="Courier New" w:hAnsi="Courier New"/>
          <w:color w:val="CDD6F4"/>
          <w:sz w:val="17"/>
          <w:szCs w:val="17"/>
        </w:rPr>
        <w:t xml:space="preserve">    ('UNH',  'UnitedHealth Group Inc.',         'Healthcare',   0.05),</w:t>
      </w:r>
    </w:p>
    <w:p>
      <w:pPr>
        <w:shd w:fill="1E1E2E" w:val="clear"/>
        <w:spacing w:after="0" w:before="0" w:line="295"/>
      </w:pPr>
      <w:r>
        <w:rPr>
          <w:rFonts w:ascii="Courier New" w:cs="Courier New" w:eastAsia="Courier New" w:hAnsi="Courier New"/>
          <w:color w:val="CDD6F4"/>
          <w:sz w:val="17"/>
          <w:szCs w:val="17"/>
        </w:rPr>
        <w:t xml:space="preserve">    ('LLY',  'Eli Lilly and Co.',               'Healthcare',   0.05),</w:t>
      </w:r>
    </w:p>
    <w:p>
      <w:pPr>
        <w:shd w:fill="1E1E2E" w:val="clear"/>
        <w:spacing w:after="0" w:before="0" w:line="295"/>
      </w:pPr>
      <w:r>
        <w:rPr>
          <w:rFonts w:ascii="Courier New" w:cs="Courier New" w:eastAsia="Courier New" w:hAnsi="Courier New"/>
          <w:color w:val="CDD6F4"/>
          <w:sz w:val="17"/>
          <w:szCs w:val="17"/>
        </w:rPr>
        <w:t xml:space="preserve">    ('JNJ',  'Johnson &amp; Johnson',               'Healthcare',   0.04),</w:t>
      </w:r>
    </w:p>
    <w:p>
      <w:pPr>
        <w:shd w:fill="1E1E2E" w:val="clear"/>
        <w:spacing w:after="0" w:before="0" w:line="295"/>
      </w:pPr>
      <w:r>
        <w:rPr>
          <w:rFonts w:ascii="Courier New" w:cs="Courier New" w:eastAsia="Courier New" w:hAnsi="Courier New"/>
          <w:color w:val="CDD6F4"/>
          <w:sz w:val="17"/>
          <w:szCs w:val="17"/>
        </w:rPr>
        <w:t xml:space="preserve">    ('ABBV', 'AbbVie Inc.',                     'Healthcare',   0.03),</w:t>
      </w:r>
    </w:p>
    <w:p>
      <w:pPr>
        <w:shd w:fill="1E1E2E" w:val="clear"/>
        <w:spacing w:after="0" w:before="0" w:line="295"/>
      </w:pPr>
      <w:r>
        <w:rPr>
          <w:rFonts w:ascii="Courier New" w:cs="Courier New" w:eastAsia="Courier New" w:hAnsi="Courier New"/>
          <w:color w:val="CDD6F4"/>
          <w:sz w:val="17"/>
          <w:szCs w:val="17"/>
        </w:rPr>
        <w:t xml:space="preserve">    ('MRK',  'Merck &amp; Co. Inc.',                'Healthcare',   0.03),</w:t>
      </w:r>
    </w:p>
    <w:p>
      <w:pPr>
        <w:shd w:fill="1E1E2E" w:val="clear"/>
        <w:spacing w:after="0" w:before="0" w:line="295"/>
      </w:pPr>
      <w:r>
        <w:rPr>
          <w:rFonts w:ascii="Courier New" w:cs="Courier New" w:eastAsia="Courier New" w:hAnsi="Courier New"/>
          <w:color w:val="CDD6F4"/>
          <w:sz w:val="17"/>
          <w:szCs w:val="17"/>
        </w:rPr>
        <w:t xml:space="preserve">    ('XOM',  'Exxon Mobil Corp.',               'Energy',       0.05),</w:t>
      </w:r>
    </w:p>
    <w:p>
      <w:pPr>
        <w:shd w:fill="1E1E2E" w:val="clear"/>
        <w:spacing w:after="0" w:before="0" w:line="295"/>
      </w:pPr>
      <w:r>
        <w:rPr>
          <w:rFonts w:ascii="Courier New" w:cs="Courier New" w:eastAsia="Courier New" w:hAnsi="Courier New"/>
          <w:color w:val="CDD6F4"/>
          <w:sz w:val="17"/>
          <w:szCs w:val="17"/>
        </w:rPr>
        <w:t xml:space="preserve">    ('CVX',  'Chevron Corp.',                   'Energy',       0.04),</w:t>
      </w:r>
    </w:p>
    <w:p>
      <w:pPr>
        <w:shd w:fill="1E1E2E" w:val="clear"/>
        <w:spacing w:after="0" w:before="0" w:line="295"/>
      </w:pPr>
      <w:r>
        <w:rPr>
          <w:rFonts w:ascii="Courier New" w:cs="Courier New" w:eastAsia="Courier New" w:hAnsi="Courier New"/>
          <w:color w:val="CDD6F4"/>
          <w:sz w:val="17"/>
          <w:szCs w:val="17"/>
        </w:rPr>
        <w:t xml:space="preserve">    ('CNQ',  'Canadian Natural Resources',      'Energy',       0.03),</w:t>
      </w:r>
    </w:p>
    <w:p>
      <w:pPr>
        <w:shd w:fill="1E1E2E" w:val="clear"/>
        <w:spacing w:after="0" w:before="0" w:line="295"/>
      </w:pPr>
      <w:r>
        <w:rPr>
          <w:rFonts w:ascii="Courier New" w:cs="Courier New" w:eastAsia="Courier New" w:hAnsi="Courier New"/>
          <w:color w:val="CDD6F4"/>
          <w:sz w:val="17"/>
          <w:szCs w:val="17"/>
        </w:rPr>
        <w:t xml:space="preserve">    ('COP',  'ConocoPhillips',                  'Energy',       0.03),</w:t>
      </w:r>
    </w:p>
    <w:p>
      <w:pPr>
        <w:shd w:fill="1E1E2E" w:val="clear"/>
        <w:spacing w:after="0" w:before="0" w:line="295"/>
      </w:pPr>
      <w:r>
        <w:rPr>
          <w:rFonts w:ascii="Courier New" w:cs="Courier New" w:eastAsia="Courier New" w:hAnsi="Courier New"/>
          <w:color w:val="CDD6F4"/>
          <w:sz w:val="17"/>
          <w:szCs w:val="17"/>
        </w:rPr>
        <w:t xml:space="preserve">    ('CAT',  'Caterpillar Inc.',                'Industrials',  0.03),</w:t>
      </w:r>
    </w:p>
    <w:p>
      <w:pPr>
        <w:shd w:fill="1E1E2E" w:val="clear"/>
        <w:spacing w:after="0" w:before="0" w:line="295"/>
      </w:pPr>
      <w:r>
        <w:rPr>
          <w:rFonts w:ascii="Courier New" w:cs="Courier New" w:eastAsia="Courier New" w:hAnsi="Courier New"/>
          <w:color w:val="CDD6F4"/>
          <w:sz w:val="17"/>
          <w:szCs w:val="17"/>
        </w:rPr>
        <w:t xml:space="preserve">    ('GE',   'GE Aerospace',                    'Industrials',  0.03),</w:t>
      </w:r>
    </w:p>
    <w:p>
      <w:pPr>
        <w:shd w:fill="1E1E2E" w:val="clear"/>
        <w:spacing w:after="0" w:before="0" w:line="295"/>
      </w:pPr>
      <w:r>
        <w:rPr>
          <w:rFonts w:ascii="Courier New" w:cs="Courier New" w:eastAsia="Courier New" w:hAnsi="Courier New"/>
          <w:color w:val="CDD6F4"/>
          <w:sz w:val="17"/>
          <w:szCs w:val="17"/>
        </w:rPr>
        <w:t xml:space="preserve">    ('HON',  'Honeywell International',         'Industrials',  0.02),</w:t>
      </w:r>
    </w:p>
    <w:p>
      <w:pPr>
        <w:shd w:fill="1E1E2E" w:val="clear"/>
        <w:spacing w:after="0" w:before="0" w:line="295"/>
      </w:pPr>
      <w:r>
        <w:rPr>
          <w:rFonts w:ascii="Courier New" w:cs="Courier New" w:eastAsia="Courier New" w:hAnsi="Courier New"/>
          <w:color w:val="CDD6F4"/>
          <w:sz w:val="17"/>
          <w:szCs w:val="17"/>
        </w:rPr>
        <w:t xml:space="preserve">    ('RTX',  'RTX Corp.',                       'Industrials',  0.02),</w:t>
      </w:r>
    </w:p>
    <w:p>
      <w:pPr>
        <w:shd w:fill="1E1E2E" w:val="clear"/>
        <w:spacing w:after="0" w:before="0" w:line="295"/>
      </w:pPr>
      <w:r>
        <w:rPr>
          <w:rFonts w:ascii="Courier New" w:cs="Courier New" w:eastAsia="Courier New" w:hAnsi="Courier New"/>
          <w:color w:val="CDD6F4"/>
          <w:sz w:val="17"/>
          <w:szCs w:val="17"/>
        </w:rPr>
        <w:t xml:space="preserve">]</w:t>
      </w:r>
    </w:p>
    <w:p>
      <w:pPr>
        <w:shd w:fill="1E1E2E" w:val="clear"/>
        <w:spacing w:after="0" w:before="0" w:line="295"/>
      </w:pPr>
      <w:r>
        <w:rPr>
          <w:rFonts w:ascii="Courier New" w:cs="Courier New" w:eastAsia="Courier New" w:hAnsi="Courier New"/>
          <w:color w:val="CDD6F4"/>
          <w:sz w:val="17"/>
          <w:szCs w:val="17"/>
        </w:rPr>
        <w:t xml:space="preserve"> </w:t>
      </w:r>
    </w:p>
    <w:p>
      <w:pPr>
        <w:shd w:fill="1E1E2E" w:val="clear"/>
        <w:spacing w:after="0" w:before="0" w:line="295"/>
      </w:pPr>
      <w:r>
        <w:rPr>
          <w:rFonts w:ascii="Courier New" w:cs="Courier New" w:eastAsia="Courier New" w:hAnsi="Courier New"/>
          <w:color w:val="CDD6F4"/>
          <w:sz w:val="17"/>
          <w:szCs w:val="17"/>
        </w:rPr>
        <w:t xml:space="preserve">def seed_universe(db_path: str = DB_PATH) -&gt; None:</w:t>
      </w:r>
    </w:p>
    <w:p>
      <w:pPr>
        <w:shd w:fill="1E1E2E" w:val="clear"/>
        <w:spacing w:after="0" w:before="0" w:line="295"/>
      </w:pPr>
      <w:r>
        <w:rPr>
          <w:rFonts w:ascii="Courier New" w:cs="Courier New" w:eastAsia="Courier New" w:hAnsi="Courier New"/>
          <w:color w:val="CDD6F4"/>
          <w:sz w:val="17"/>
          <w:szCs w:val="17"/>
        </w:rPr>
        <w:t xml:space="preserve">    con = sqlite3.connect(db_path)</w:t>
      </w:r>
    </w:p>
    <w:p>
      <w:pPr>
        <w:shd w:fill="1E1E2E" w:val="clear"/>
        <w:spacing w:after="0" w:before="0" w:line="295"/>
      </w:pPr>
      <w:r>
        <w:rPr>
          <w:rFonts w:ascii="Courier New" w:cs="Courier New" w:eastAsia="Courier New" w:hAnsi="Courier New"/>
          <w:color w:val="CDD6F4"/>
          <w:sz w:val="17"/>
          <w:szCs w:val="17"/>
        </w:rPr>
        <w:t xml:space="preserve">    cur = con.cursor()</w:t>
      </w:r>
    </w:p>
    <w:p>
      <w:pPr>
        <w:shd w:fill="1E1E2E" w:val="clear"/>
        <w:spacing w:after="0" w:before="0" w:line="295"/>
      </w:pPr>
      <w:r>
        <w:rPr>
          <w:rFonts w:ascii="Courier New" w:cs="Courier New" w:eastAsia="Courier New" w:hAnsi="Courier New"/>
          <w:color w:val="CDD6F4"/>
          <w:sz w:val="17"/>
          <w:szCs w:val="17"/>
        </w:rPr>
        <w:t xml:space="preserve"> </w:t>
      </w:r>
    </w:p>
    <w:p>
      <w:pPr>
        <w:shd w:fill="1E1E2E" w:val="clear"/>
        <w:spacing w:after="0" w:before="0" w:line="295"/>
      </w:pPr>
      <w:r>
        <w:rPr>
          <w:rFonts w:ascii="Courier New" w:cs="Courier New" w:eastAsia="Courier New" w:hAnsi="Courier New"/>
          <w:color w:val="CDD6F4"/>
          <w:sz w:val="17"/>
          <w:szCs w:val="17"/>
        </w:rPr>
        <w:t xml:space="preserve">    # 1. Insert sectors</w:t>
      </w:r>
    </w:p>
    <w:p>
      <w:pPr>
        <w:shd w:fill="1E1E2E" w:val="clear"/>
        <w:spacing w:after="0" w:before="0" w:line="295"/>
      </w:pPr>
      <w:r>
        <w:rPr>
          <w:rFonts w:ascii="Courier New" w:cs="Courier New" w:eastAsia="Courier New" w:hAnsi="Courier New"/>
          <w:color w:val="CDD6F4"/>
          <w:sz w:val="17"/>
          <w:szCs w:val="17"/>
        </w:rPr>
        <w:t xml:space="preserve">    for s in SECTORS:</w:t>
      </w:r>
    </w:p>
    <w:p>
      <w:pPr>
        <w:shd w:fill="1E1E2E" w:val="clear"/>
        <w:spacing w:after="0" w:before="0" w:line="295"/>
      </w:pPr>
      <w:r>
        <w:rPr>
          <w:rFonts w:ascii="Courier New" w:cs="Courier New" w:eastAsia="Courier New" w:hAnsi="Courier New"/>
          <w:color w:val="CDD6F4"/>
          <w:sz w:val="17"/>
          <w:szCs w:val="17"/>
        </w:rPr>
        <w:t xml:space="preserve">        cur.execute(</w:t>
      </w:r>
    </w:p>
    <w:p>
      <w:pPr>
        <w:shd w:fill="1E1E2E" w:val="clear"/>
        <w:spacing w:after="0" w:before="0" w:line="295"/>
      </w:pPr>
      <w:r>
        <w:rPr>
          <w:rFonts w:ascii="Courier New" w:cs="Courier New" w:eastAsia="Courier New" w:hAnsi="Courier New"/>
          <w:color w:val="CDD6F4"/>
          <w:sz w:val="17"/>
          <w:szCs w:val="17"/>
        </w:rPr>
        <w:t xml:space="preserve">            'INSERT OR IGNORE INTO dim_sector (sector_name) VALUES (?)', (s,)</w:t>
      </w:r>
    </w:p>
    <w:p>
      <w:pPr>
        <w:shd w:fill="1E1E2E" w:val="clear"/>
        <w:spacing w:after="0" w:before="0" w:line="295"/>
      </w:pPr>
      <w:r>
        <w:rPr>
          <w:rFonts w:ascii="Courier New" w:cs="Courier New" w:eastAsia="Courier New" w:hAnsi="Courier New"/>
          <w:color w:val="CDD6F4"/>
          <w:sz w:val="17"/>
          <w:szCs w:val="17"/>
        </w:rPr>
        <w:t xml:space="preserve">        )</w:t>
      </w:r>
    </w:p>
    <w:p>
      <w:pPr>
        <w:shd w:fill="1E1E2E" w:val="clear"/>
        <w:spacing w:after="0" w:before="0" w:line="295"/>
      </w:pPr>
      <w:r>
        <w:rPr>
          <w:rFonts w:ascii="Courier New" w:cs="Courier New" w:eastAsia="Courier New" w:hAnsi="Courier New"/>
          <w:color w:val="CDD6F4"/>
          <w:sz w:val="17"/>
          <w:szCs w:val="17"/>
        </w:rPr>
        <w:t xml:space="preserve"> </w:t>
      </w:r>
    </w:p>
    <w:p>
      <w:pPr>
        <w:shd w:fill="1E1E2E" w:val="clear"/>
        <w:spacing w:after="0" w:before="0" w:line="295"/>
      </w:pPr>
      <w:r>
        <w:rPr>
          <w:rFonts w:ascii="Courier New" w:cs="Courier New" w:eastAsia="Courier New" w:hAnsi="Courier New"/>
          <w:color w:val="CDD6F4"/>
          <w:sz w:val="17"/>
          <w:szCs w:val="17"/>
        </w:rPr>
        <w:t xml:space="preserve">    # 2. Insert stocks</w:t>
      </w:r>
    </w:p>
    <w:p>
      <w:pPr>
        <w:shd w:fill="1E1E2E" w:val="clear"/>
        <w:spacing w:after="0" w:before="0" w:line="295"/>
      </w:pPr>
      <w:r>
        <w:rPr>
          <w:rFonts w:ascii="Courier New" w:cs="Courier New" w:eastAsia="Courier New" w:hAnsi="Courier New"/>
          <w:color w:val="CDD6F4"/>
          <w:sz w:val="17"/>
          <w:szCs w:val="17"/>
        </w:rPr>
        <w:t xml:space="preserve">    for ticker, name, sector, _ in STOCKS:</w:t>
      </w:r>
    </w:p>
    <w:p>
      <w:pPr>
        <w:shd w:fill="1E1E2E" w:val="clear"/>
        <w:spacing w:after="0" w:before="0" w:line="295"/>
      </w:pPr>
      <w:r>
        <w:rPr>
          <w:rFonts w:ascii="Courier New" w:cs="Courier New" w:eastAsia="Courier New" w:hAnsi="Courier New"/>
          <w:color w:val="CDD6F4"/>
          <w:sz w:val="17"/>
          <w:szCs w:val="17"/>
        </w:rPr>
        <w:t xml:space="preserve">        cur.execute('SELECT sector_id FROM dim_sector WHERE sector_name = ?', (sector,))</w:t>
      </w:r>
    </w:p>
    <w:p>
      <w:pPr>
        <w:shd w:fill="1E1E2E" w:val="clear"/>
        <w:spacing w:after="0" w:before="0" w:line="295"/>
      </w:pPr>
      <w:r>
        <w:rPr>
          <w:rFonts w:ascii="Courier New" w:cs="Courier New" w:eastAsia="Courier New" w:hAnsi="Courier New"/>
          <w:color w:val="CDD6F4"/>
          <w:sz w:val="17"/>
          <w:szCs w:val="17"/>
        </w:rPr>
        <w:t xml:space="preserve">        sector_id = cur.fetchone()[0]</w:t>
      </w:r>
    </w:p>
    <w:p>
      <w:pPr>
        <w:shd w:fill="1E1E2E" w:val="clear"/>
        <w:spacing w:after="0" w:before="0" w:line="295"/>
      </w:pPr>
      <w:r>
        <w:rPr>
          <w:rFonts w:ascii="Courier New" w:cs="Courier New" w:eastAsia="Courier New" w:hAnsi="Courier New"/>
          <w:color w:val="CDD6F4"/>
          <w:sz w:val="17"/>
          <w:szCs w:val="17"/>
        </w:rPr>
        <w:t xml:space="preserve">        cur.execute(</w:t>
      </w:r>
    </w:p>
    <w:p>
      <w:pPr>
        <w:shd w:fill="1E1E2E" w:val="clear"/>
        <w:spacing w:after="0" w:before="0" w:line="295"/>
      </w:pPr>
      <w:r>
        <w:rPr>
          <w:rFonts w:ascii="Courier New" w:cs="Courier New" w:eastAsia="Courier New" w:hAnsi="Courier New"/>
          <w:color w:val="CDD6F4"/>
          <w:sz w:val="17"/>
          <w:szCs w:val="17"/>
        </w:rPr>
        <w:t xml:space="preserve">            '''INSERT OR IGNORE INTO dim_stock (ticker, company_name, sector_id)</w:t>
      </w:r>
    </w:p>
    <w:p>
      <w:pPr>
        <w:shd w:fill="1E1E2E" w:val="clear"/>
        <w:spacing w:after="0" w:before="0" w:line="295"/>
      </w:pPr>
      <w:r>
        <w:rPr>
          <w:rFonts w:ascii="Courier New" w:cs="Courier New" w:eastAsia="Courier New" w:hAnsi="Courier New"/>
          <w:color w:val="CDD6F4"/>
          <w:sz w:val="17"/>
          <w:szCs w:val="17"/>
        </w:rPr>
        <w:t xml:space="preserve">               VALUES (?, ?, ?)''',</w:t>
      </w:r>
    </w:p>
    <w:p>
      <w:pPr>
        <w:shd w:fill="1E1E2E" w:val="clear"/>
        <w:spacing w:after="0" w:before="0" w:line="295"/>
      </w:pPr>
      <w:r>
        <w:rPr>
          <w:rFonts w:ascii="Courier New" w:cs="Courier New" w:eastAsia="Courier New" w:hAnsi="Courier New"/>
          <w:color w:val="CDD6F4"/>
          <w:sz w:val="17"/>
          <w:szCs w:val="17"/>
        </w:rPr>
        <w:t xml:space="preserve">            (ticker, name, sector_id)</w:t>
      </w:r>
    </w:p>
    <w:p>
      <w:pPr>
        <w:shd w:fill="1E1E2E" w:val="clear"/>
        <w:spacing w:after="0" w:before="0" w:line="295"/>
      </w:pPr>
      <w:r>
        <w:rPr>
          <w:rFonts w:ascii="Courier New" w:cs="Courier New" w:eastAsia="Courier New" w:hAnsi="Courier New"/>
          <w:color w:val="CDD6F4"/>
          <w:sz w:val="17"/>
          <w:szCs w:val="17"/>
        </w:rPr>
        <w:t xml:space="preserve">        )</w:t>
      </w:r>
    </w:p>
    <w:p>
      <w:pPr>
        <w:shd w:fill="1E1E2E" w:val="clear"/>
        <w:spacing w:after="0" w:before="0" w:line="295"/>
      </w:pPr>
      <w:r>
        <w:rPr>
          <w:rFonts w:ascii="Courier New" w:cs="Courier New" w:eastAsia="Courier New" w:hAnsi="Courier New"/>
          <w:color w:val="CDD6F4"/>
          <w:sz w:val="17"/>
          <w:szCs w:val="17"/>
        </w:rPr>
        <w:t xml:space="preserve"> </w:t>
      </w:r>
    </w:p>
    <w:p>
      <w:pPr>
        <w:shd w:fill="1E1E2E" w:val="clear"/>
        <w:spacing w:after="0" w:before="0" w:line="295"/>
      </w:pPr>
      <w:r>
        <w:rPr>
          <w:rFonts w:ascii="Courier New" w:cs="Courier New" w:eastAsia="Courier New" w:hAnsi="Courier New"/>
          <w:color w:val="CDD6F4"/>
          <w:sz w:val="17"/>
          <w:szCs w:val="17"/>
        </w:rPr>
        <w:t xml:space="preserve">    # 3. Insert portfolio holdings</w:t>
      </w:r>
    </w:p>
    <w:p>
      <w:pPr>
        <w:shd w:fill="1E1E2E" w:val="clear"/>
        <w:spacing w:after="0" w:before="0" w:line="295"/>
      </w:pPr>
      <w:r>
        <w:rPr>
          <w:rFonts w:ascii="Courier New" w:cs="Courier New" w:eastAsia="Courier New" w:hAnsi="Courier New"/>
          <w:color w:val="CDD6F4"/>
          <w:sz w:val="17"/>
          <w:szCs w:val="17"/>
        </w:rPr>
        <w:t xml:space="preserve">    start_date = datetime.date(2022, 1, 3).isoformat()  # first trading day 2022</w:t>
      </w:r>
    </w:p>
    <w:p>
      <w:pPr>
        <w:shd w:fill="1E1E2E" w:val="clear"/>
        <w:spacing w:after="0" w:before="0" w:line="295"/>
      </w:pPr>
      <w:r>
        <w:rPr>
          <w:rFonts w:ascii="Courier New" w:cs="Courier New" w:eastAsia="Courier New" w:hAnsi="Courier New"/>
          <w:color w:val="CDD6F4"/>
          <w:sz w:val="17"/>
          <w:szCs w:val="17"/>
        </w:rPr>
        <w:t xml:space="preserve">    for ticker, _, _, weight in STOCKS:</w:t>
      </w:r>
    </w:p>
    <w:p>
      <w:pPr>
        <w:shd w:fill="1E1E2E" w:val="clear"/>
        <w:spacing w:after="0" w:before="0" w:line="295"/>
      </w:pPr>
      <w:r>
        <w:rPr>
          <w:rFonts w:ascii="Courier New" w:cs="Courier New" w:eastAsia="Courier New" w:hAnsi="Courier New"/>
          <w:color w:val="CDD6F4"/>
          <w:sz w:val="17"/>
          <w:szCs w:val="17"/>
        </w:rPr>
        <w:t xml:space="preserve">        cur.execute('SELECT stock_id FROM dim_stock WHERE ticker = ?', (ticker,))</w:t>
      </w:r>
    </w:p>
    <w:p>
      <w:pPr>
        <w:shd w:fill="1E1E2E" w:val="clear"/>
        <w:spacing w:after="0" w:before="0" w:line="295"/>
      </w:pPr>
      <w:r>
        <w:rPr>
          <w:rFonts w:ascii="Courier New" w:cs="Courier New" w:eastAsia="Courier New" w:hAnsi="Courier New"/>
          <w:color w:val="CDD6F4"/>
          <w:sz w:val="17"/>
          <w:szCs w:val="17"/>
        </w:rPr>
        <w:t xml:space="preserve">        stock_id = cur.fetchone()[0]</w:t>
      </w:r>
    </w:p>
    <w:p>
      <w:pPr>
        <w:shd w:fill="1E1E2E" w:val="clear"/>
        <w:spacing w:after="0" w:before="0" w:line="295"/>
      </w:pPr>
      <w:r>
        <w:rPr>
          <w:rFonts w:ascii="Courier New" w:cs="Courier New" w:eastAsia="Courier New" w:hAnsi="Courier New"/>
          <w:color w:val="CDD6F4"/>
          <w:sz w:val="17"/>
          <w:szCs w:val="17"/>
        </w:rPr>
        <w:t xml:space="preserve">        cur.execute(</w:t>
      </w:r>
    </w:p>
    <w:p>
      <w:pPr>
        <w:shd w:fill="1E1E2E" w:val="clear"/>
        <w:spacing w:after="0" w:before="0" w:line="295"/>
      </w:pPr>
      <w:r>
        <w:rPr>
          <w:rFonts w:ascii="Courier New" w:cs="Courier New" w:eastAsia="Courier New" w:hAnsi="Courier New"/>
          <w:color w:val="CDD6F4"/>
          <w:sz w:val="17"/>
          <w:szCs w:val="17"/>
        </w:rPr>
        <w:t xml:space="preserve">            '''INSERT OR IGNORE INTO portfolio_holding (stock_id, weight, start_date)</w:t>
      </w:r>
    </w:p>
    <w:p>
      <w:pPr>
        <w:shd w:fill="1E1E2E" w:val="clear"/>
        <w:spacing w:after="0" w:before="0" w:line="295"/>
      </w:pPr>
      <w:r>
        <w:rPr>
          <w:rFonts w:ascii="Courier New" w:cs="Courier New" w:eastAsia="Courier New" w:hAnsi="Courier New"/>
          <w:color w:val="CDD6F4"/>
          <w:sz w:val="17"/>
          <w:szCs w:val="17"/>
        </w:rPr>
        <w:t xml:space="preserve">               VALUES (?, ?, ?)''',</w:t>
      </w:r>
    </w:p>
    <w:p>
      <w:pPr>
        <w:shd w:fill="1E1E2E" w:val="clear"/>
        <w:spacing w:after="0" w:before="0" w:line="295"/>
      </w:pPr>
      <w:r>
        <w:rPr>
          <w:rFonts w:ascii="Courier New" w:cs="Courier New" w:eastAsia="Courier New" w:hAnsi="Courier New"/>
          <w:color w:val="CDD6F4"/>
          <w:sz w:val="17"/>
          <w:szCs w:val="17"/>
        </w:rPr>
        <w:t xml:space="preserve">            (stock_id, weight, start_date)</w:t>
      </w:r>
    </w:p>
    <w:p>
      <w:pPr>
        <w:shd w:fill="1E1E2E" w:val="clear"/>
        <w:spacing w:after="0" w:before="0" w:line="295"/>
      </w:pPr>
      <w:r>
        <w:rPr>
          <w:rFonts w:ascii="Courier New" w:cs="Courier New" w:eastAsia="Courier New" w:hAnsi="Courier New"/>
          <w:color w:val="CDD6F4"/>
          <w:sz w:val="17"/>
          <w:szCs w:val="17"/>
        </w:rPr>
        <w:t xml:space="preserve">        )</w:t>
      </w:r>
    </w:p>
    <w:p>
      <w:pPr>
        <w:shd w:fill="1E1E2E" w:val="clear"/>
        <w:spacing w:after="0" w:before="0" w:line="295"/>
      </w:pPr>
      <w:r>
        <w:rPr>
          <w:rFonts w:ascii="Courier New" w:cs="Courier New" w:eastAsia="Courier New" w:hAnsi="Courier New"/>
          <w:color w:val="CDD6F4"/>
          <w:sz w:val="17"/>
          <w:szCs w:val="17"/>
        </w:rPr>
        <w:t xml:space="preserve"> </w:t>
      </w:r>
    </w:p>
    <w:p>
      <w:pPr>
        <w:shd w:fill="1E1E2E" w:val="clear"/>
        <w:spacing w:after="0" w:before="0" w:line="295"/>
      </w:pPr>
      <w:r>
        <w:rPr>
          <w:rFonts w:ascii="Courier New" w:cs="Courier New" w:eastAsia="Courier New" w:hAnsi="Courier New"/>
          <w:color w:val="CDD6F4"/>
          <w:sz w:val="17"/>
          <w:szCs w:val="17"/>
        </w:rPr>
        <w:t xml:space="preserve">    con.commit()</w:t>
      </w:r>
    </w:p>
    <w:p>
      <w:pPr>
        <w:shd w:fill="1E1E2E" w:val="clear"/>
        <w:spacing w:after="0" w:before="0" w:line="295"/>
      </w:pPr>
      <w:r>
        <w:rPr>
          <w:rFonts w:ascii="Courier New" w:cs="Courier New" w:eastAsia="Courier New" w:hAnsi="Courier New"/>
          <w:color w:val="CDD6F4"/>
          <w:sz w:val="17"/>
          <w:szCs w:val="17"/>
        </w:rPr>
        <w:t xml:space="preserve">    con.close()</w:t>
      </w:r>
    </w:p>
    <w:p>
      <w:pPr>
        <w:shd w:fill="1E1E2E" w:val="clear"/>
        <w:spacing w:after="0" w:before="0" w:line="295"/>
      </w:pPr>
      <w:r>
        <w:rPr>
          <w:rFonts w:ascii="Courier New" w:cs="Courier New" w:eastAsia="Courier New" w:hAnsi="Courier New"/>
          <w:color w:val="CDD6F4"/>
          <w:sz w:val="17"/>
          <w:szCs w:val="17"/>
        </w:rPr>
        <w:t xml:space="preserve">    print(f'Seeded {len(STOCKS)} stocks across {len(SECTORS)} sectors.')</w:t>
      </w:r>
    </w:p>
    <w:p>
      <w:pPr>
        <w:shd w:fill="1E1E2E" w:val="clear"/>
        <w:spacing w:after="0" w:before="0" w:line="295"/>
      </w:pPr>
      <w:r>
        <w:rPr>
          <w:rFonts w:ascii="Courier New" w:cs="Courier New" w:eastAsia="Courier New" w:hAnsi="Courier New"/>
          <w:color w:val="CDD6F4"/>
          <w:sz w:val="17"/>
          <w:szCs w:val="17"/>
        </w:rPr>
        <w:t xml:space="preserve"> </w:t>
      </w:r>
    </w:p>
    <w:p>
      <w:pPr>
        <w:shd w:fill="1E1E2E" w:val="clear"/>
        <w:spacing w:after="0" w:before="0" w:line="295"/>
      </w:pPr>
      <w:r>
        <w:rPr>
          <w:rFonts w:ascii="Courier New" w:cs="Courier New" w:eastAsia="Courier New" w:hAnsi="Courier New"/>
          <w:color w:val="CDD6F4"/>
          <w:sz w:val="17"/>
          <w:szCs w:val="17"/>
        </w:rPr>
        <w:t xml:space="preserve"> </w:t>
      </w:r>
    </w:p>
    <w:p>
      <w:pPr>
        <w:shd w:fill="1E1E2E" w:val="clear"/>
        <w:spacing w:after="0" w:before="0" w:line="295"/>
      </w:pPr>
      <w:r>
        <w:rPr>
          <w:rFonts w:ascii="Courier New" w:cs="Courier New" w:eastAsia="Courier New" w:hAnsi="Courier New"/>
          <w:color w:val="CDD6F4"/>
          <w:sz w:val="17"/>
          <w:szCs w:val="17"/>
        </w:rPr>
        <w:t xml:space="preserve">if __name__ == '__main__':</w:t>
      </w:r>
    </w:p>
    <w:p>
      <w:pPr>
        <w:shd w:fill="1E1E2E" w:val="clear"/>
        <w:spacing w:after="0" w:before="0" w:line="295"/>
      </w:pPr>
      <w:r>
        <w:rPr>
          <w:rFonts w:ascii="Courier New" w:cs="Courier New" w:eastAsia="Courier New" w:hAnsi="Courier New"/>
          <w:color w:val="CDD6F4"/>
          <w:sz w:val="17"/>
          <w:szCs w:val="17"/>
        </w:rPr>
        <w:t xml:space="preserve">    # Quick sanity check — weights must sum to 1.0</w:t>
      </w:r>
    </w:p>
    <w:p>
      <w:pPr>
        <w:shd w:fill="1E1E2E" w:val="clear"/>
        <w:spacing w:after="0" w:before="0" w:line="295"/>
      </w:pPr>
      <w:r>
        <w:rPr>
          <w:rFonts w:ascii="Courier New" w:cs="Courier New" w:eastAsia="Courier New" w:hAnsi="Courier New"/>
          <w:color w:val="CDD6F4"/>
          <w:sz w:val="17"/>
          <w:szCs w:val="17"/>
        </w:rPr>
        <w:t xml:space="preserve">    total = sum(w for _, _, _, w in STOCKS)</w:t>
      </w:r>
    </w:p>
    <w:p>
      <w:pPr>
        <w:shd w:fill="1E1E2E" w:val="clear"/>
        <w:spacing w:after="0" w:before="0" w:line="295"/>
      </w:pPr>
      <w:r>
        <w:rPr>
          <w:rFonts w:ascii="Courier New" w:cs="Courier New" w:eastAsia="Courier New" w:hAnsi="Courier New"/>
          <w:color w:val="CDD6F4"/>
          <w:sz w:val="17"/>
          <w:szCs w:val="17"/>
        </w:rPr>
        <w:t xml:space="preserve">    assert abs(total - 1.0) &lt; 1e-9, f'Weights sum to {total:.4f}, expected 1.0'</w:t>
      </w:r>
    </w:p>
    <w:p>
      <w:pPr>
        <w:shd w:fill="1E1E2E" w:val="clear"/>
        <w:spacing w:after="0" w:before="0" w:line="295"/>
      </w:pPr>
      <w:r>
        <w:rPr>
          <w:rFonts w:ascii="Courier New" w:cs="Courier New" w:eastAsia="Courier New" w:hAnsi="Courier New"/>
          <w:color w:val="CDD6F4"/>
          <w:sz w:val="17"/>
          <w:szCs w:val="17"/>
        </w:rPr>
        <w:t xml:space="preserve">    print(f'Weight check passed. Total = {total:.2%}')</w:t>
      </w:r>
    </w:p>
    <w:p>
      <w:pPr>
        <w:shd w:fill="1E1E2E" w:val="clear"/>
        <w:spacing w:after="0" w:before="0" w:line="295"/>
      </w:pPr>
      <w:r>
        <w:rPr>
          <w:rFonts w:ascii="Courier New" w:cs="Courier New" w:eastAsia="Courier New" w:hAnsi="Courier New"/>
          <w:color w:val="CDD6F4"/>
          <w:sz w:val="17"/>
          <w:szCs w:val="17"/>
        </w:rPr>
        <w:t xml:space="preserve">    seed_universe()</w:t>
      </w:r>
    </w:p>
    <w:p>
      <w:pPr>
        <w:shd w:fill="1E1E2E" w:val="clear"/>
        <w:spacing w:after="0" w:before="0"/>
      </w:pPr>
      <w:r>
        <w:rPr>
          <w:color w:val="1E1E2E"/>
          <w:sz w:val="8"/>
          <w:szCs w:val="8"/>
        </w:rPr>
        <w:t xml:space="preserve"> </w:t>
      </w:r>
    </w:p>
    <w:p>
      <w:pPr>
        <w:spacing w:after="0" w:before="140"/>
      </w:pPr>
    </w:p>
    <w:p>
      <w:pPr>
        <w:spacing w:after="0" w:before="200"/>
      </w:pPr>
    </w:p>
    <w:p>
      <w:pPr>
        <w:spacing w:after="60" w:before="0"/>
      </w:pPr>
      <w:r>
        <w:rPr>
          <w:rFonts w:ascii="Arial" w:cs="Arial" w:eastAsia="Arial" w:hAnsi="Arial"/>
          <w:b/>
          <w:bCs/>
          <w:color w:val="C8861A"/>
          <w:sz w:val="27"/>
          <w:szCs w:val="27"/>
        </w:rPr>
        <w:t xml:space="preserve">07  </w:t>
      </w:r>
      <w:r>
        <w:rPr>
          <w:rFonts w:ascii="Arial" w:cs="Arial" w:eastAsia="Arial" w:hAnsi="Arial"/>
          <w:b/>
          <w:bCs/>
          <w:color w:val="1B2A4A"/>
          <w:sz w:val="27"/>
          <w:szCs w:val="27"/>
        </w:rPr>
        <w:t xml:space="preserve">CSV Reference File — universe.csv</w:t>
      </w:r>
    </w:p>
    <w:p>
      <w:pPr>
        <w:pBdr>
          <w:bottom w:val="single" w:color="2E5FA3" w:sz="8" w:space="1"/>
        </w:pBdr>
        <w:spacing w:after="120" w:before="0"/>
      </w:pPr>
    </w:p>
    <w:p>
      <w:pPr>
        <w:spacing w:after="0" w:before="80"/>
      </w:pPr>
    </w:p>
    <w:p>
      <w:pPr>
        <w:spacing w:after="80" w:before="0"/>
      </w:pPr>
      <w:r>
        <w:rPr>
          <w:rFonts w:ascii="Arial" w:cs="Arial" w:eastAsia="Arial" w:hAnsi="Arial"/>
          <w:color w:val="0A0A0A"/>
          <w:sz w:val="19"/>
          <w:szCs w:val="19"/>
        </w:rPr>
        <w:t xml:space="preserve">The same data is stored as a flat CSV for use in Excel validation and as a readable reference. The weight_pct column uses integer percentages (not decimals) for readability.</w:t>
      </w:r>
    </w:p>
    <w:p>
      <w:pPr>
        <w:shd w:fill="1E1E2E" w:val="clear"/>
        <w:spacing w:after="0" w:before="0"/>
      </w:pPr>
      <w:r>
        <w:rPr>
          <w:color w:val="1E1E2E"/>
          <w:sz w:val="8"/>
          <w:szCs w:val="8"/>
        </w:rPr>
        <w:t xml:space="preserve"> </w:t>
      </w:r>
    </w:p>
    <w:p>
      <w:pPr>
        <w:shd w:fill="1E1E2E" w:val="clear"/>
        <w:spacing w:after="0" w:before="0" w:line="295"/>
      </w:pPr>
      <w:r>
        <w:rPr>
          <w:rFonts w:ascii="Courier New" w:cs="Courier New" w:eastAsia="Courier New" w:hAnsi="Courier New"/>
          <w:color w:val="CDD6F4"/>
          <w:sz w:val="17"/>
          <w:szCs w:val="17"/>
        </w:rPr>
        <w:t xml:space="preserve">ticker,company_name,sector,exchange,weight_pct</w:t>
      </w:r>
    </w:p>
    <w:p>
      <w:pPr>
        <w:shd w:fill="1E1E2E" w:val="clear"/>
        <w:spacing w:after="0" w:before="0" w:line="295"/>
      </w:pPr>
      <w:r>
        <w:rPr>
          <w:rFonts w:ascii="Courier New" w:cs="Courier New" w:eastAsia="Courier New" w:hAnsi="Courier New"/>
          <w:color w:val="CDD6F4"/>
          <w:sz w:val="17"/>
          <w:szCs w:val="17"/>
        </w:rPr>
        <w:t xml:space="preserve">AAPL,"Apple Inc.",Technology,NASDAQ,6</w:t>
      </w:r>
    </w:p>
    <w:p>
      <w:pPr>
        <w:shd w:fill="1E1E2E" w:val="clear"/>
        <w:spacing w:after="0" w:before="0" w:line="295"/>
      </w:pPr>
      <w:r>
        <w:rPr>
          <w:rFonts w:ascii="Courier New" w:cs="Courier New" w:eastAsia="Courier New" w:hAnsi="Courier New"/>
          <w:color w:val="CDD6F4"/>
          <w:sz w:val="17"/>
          <w:szCs w:val="17"/>
        </w:rPr>
        <w:t xml:space="preserve">MSFT,"Microsoft Corp.",Technology,NASDAQ,6</w:t>
      </w:r>
    </w:p>
    <w:p>
      <w:pPr>
        <w:shd w:fill="1E1E2E" w:val="clear"/>
        <w:spacing w:after="0" w:before="0" w:line="295"/>
      </w:pPr>
      <w:r>
        <w:rPr>
          <w:rFonts w:ascii="Courier New" w:cs="Courier New" w:eastAsia="Courier New" w:hAnsi="Courier New"/>
          <w:color w:val="CDD6F4"/>
          <w:sz w:val="17"/>
          <w:szCs w:val="17"/>
        </w:rPr>
        <w:t xml:space="preserve">NVDA,"NVIDIA Corp.",Technology,NASDAQ,5</w:t>
      </w:r>
    </w:p>
    <w:p>
      <w:pPr>
        <w:shd w:fill="1E1E2E" w:val="clear"/>
        <w:spacing w:after="0" w:before="0" w:line="295"/>
      </w:pPr>
      <w:r>
        <w:rPr>
          <w:rFonts w:ascii="Courier New" w:cs="Courier New" w:eastAsia="Courier New" w:hAnsi="Courier New"/>
          <w:color w:val="CDD6F4"/>
          <w:sz w:val="17"/>
          <w:szCs w:val="17"/>
        </w:rPr>
        <w:t xml:space="preserve">GOOGL,"Alphabet Inc.",Technology,NASDAQ,5</w:t>
      </w:r>
    </w:p>
    <w:p>
      <w:pPr>
        <w:shd w:fill="1E1E2E" w:val="clear"/>
        <w:spacing w:after="0" w:before="0" w:line="295"/>
      </w:pPr>
      <w:r>
        <w:rPr>
          <w:rFonts w:ascii="Courier New" w:cs="Courier New" w:eastAsia="Courier New" w:hAnsi="Courier New"/>
          <w:color w:val="CDD6F4"/>
          <w:sz w:val="17"/>
          <w:szCs w:val="17"/>
        </w:rPr>
        <w:t xml:space="preserve">META,"Meta Platforms Inc.",Technology,NASDAQ,4</w:t>
      </w:r>
    </w:p>
    <w:p>
      <w:pPr>
        <w:shd w:fill="1E1E2E" w:val="clear"/>
        <w:spacing w:after="0" w:before="0" w:line="295"/>
      </w:pPr>
      <w:r>
        <w:rPr>
          <w:rFonts w:ascii="Courier New" w:cs="Courier New" w:eastAsia="Courier New" w:hAnsi="Courier New"/>
          <w:color w:val="CDD6F4"/>
          <w:sz w:val="17"/>
          <w:szCs w:val="17"/>
        </w:rPr>
        <w:t xml:space="preserve">AVGO,"Broadcom Inc.",Technology,NASDAQ,4</w:t>
      </w:r>
    </w:p>
    <w:p>
      <w:pPr>
        <w:shd w:fill="1E1E2E" w:val="clear"/>
        <w:spacing w:after="0" w:before="0" w:line="295"/>
      </w:pPr>
      <w:r>
        <w:rPr>
          <w:rFonts w:ascii="Courier New" w:cs="Courier New" w:eastAsia="Courier New" w:hAnsi="Courier New"/>
          <w:color w:val="CDD6F4"/>
          <w:sz w:val="17"/>
          <w:szCs w:val="17"/>
        </w:rPr>
        <w:t xml:space="preserve">JPM,"JPMorgan Chase &amp; Co.",Financials,NYSE,5</w:t>
      </w:r>
    </w:p>
    <w:p>
      <w:pPr>
        <w:shd w:fill="1E1E2E" w:val="clear"/>
        <w:spacing w:after="0" w:before="0" w:line="295"/>
      </w:pPr>
      <w:r>
        <w:rPr>
          <w:rFonts w:ascii="Courier New" w:cs="Courier New" w:eastAsia="Courier New" w:hAnsi="Courier New"/>
          <w:color w:val="CDD6F4"/>
          <w:sz w:val="17"/>
          <w:szCs w:val="17"/>
        </w:rPr>
        <w:t xml:space="preserve">RY,"Royal Bank of Canada",Financials,NYSE,5</w:t>
      </w:r>
    </w:p>
    <w:p>
      <w:pPr>
        <w:shd w:fill="1E1E2E" w:val="clear"/>
        <w:spacing w:after="0" w:before="0" w:line="295"/>
      </w:pPr>
      <w:r>
        <w:rPr>
          <w:rFonts w:ascii="Courier New" w:cs="Courier New" w:eastAsia="Courier New" w:hAnsi="Courier New"/>
          <w:color w:val="CDD6F4"/>
          <w:sz w:val="17"/>
          <w:szCs w:val="17"/>
        </w:rPr>
        <w:t xml:space="preserve">BAC,"Bank of America Corp.",Financials,NYSE,4</w:t>
      </w:r>
    </w:p>
    <w:p>
      <w:pPr>
        <w:shd w:fill="1E1E2E" w:val="clear"/>
        <w:spacing w:after="0" w:before="0"/>
      </w:pPr>
      <w:r>
        <w:rPr>
          <w:color w:val="1E1E2E"/>
          <w:sz w:val="8"/>
          <w:szCs w:val="8"/>
        </w:rPr>
        <w:t xml:space="preserve"> </w:t>
      </w:r>
    </w:p>
    <w:p>
      <w:pPr>
        <w:spacing w:after="0" w:before="60"/>
      </w:pPr>
    </w:p>
    <w:p>
      <w:r>
        <w:rPr>
          <w:rFonts w:ascii="Arial" w:cs="Arial" w:eastAsia="Arial" w:hAnsi="Arial"/>
          <w:i/>
          <w:iCs/>
          <w:color w:val="555555"/>
          <w:sz w:val="18"/>
          <w:szCs w:val="18"/>
        </w:rPr>
        <w:t xml:space="preserve">… and 16 more rows (26 total including header). Full file produced in Step 4.</w:t>
      </w:r>
    </w:p>
    <w:p>
      <w:pPr>
        <w:spacing w:after="0" w:before="200"/>
      </w:pPr>
    </w:p>
    <w:p>
      <w:pPr>
        <w:pBdr>
          <w:bottom w:val="single" w:color="D0D5DD" w:sz="8" w:space="1"/>
        </w:pBdr>
        <w:spacing w:after="120" w:before="0"/>
      </w:pPr>
    </w:p>
    <w:p>
      <w:pPr>
        <w:jc w:val="center"/>
      </w:pPr>
      <w:r>
        <w:rPr>
          <w:rFonts w:ascii="Arial" w:cs="Arial" w:eastAsia="Arial" w:hAnsi="Arial"/>
          <w:i/>
          <w:iCs/>
          <w:color w:val="999999"/>
          <w:sz w:val="17"/>
          <w:szCs w:val="17"/>
        </w:rPr>
        <w:t xml:space="preserve">Internal Document — Portfolio Risk Analytics Project · Step 3 of 8</w:t>
      </w:r>
    </w:p>
    <w:sectPr>
      <w:footerReference w:type="default" r:id="rId7"/>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7"/>
        <w:szCs w:val="17"/>
      </w:rPr>
      <w:t xml:space="preserve">Portfolio Risk Analytics Platform  |  Step 3 — Stock Universe &amp; Portfolio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320"/>
      </w:pPr>
      <w:rPr>
        <w:rFonts w:ascii="Arial" w:cs="Arial" w:eastAsia="Arial" w:hAnsi="Arial"/>
        <w:color w:val="2E5FA3"/>
        <w:sz w:val="18"/>
        <w:szCs w:val="18"/>
      </w:rPr>
    </w:lvl>
  </w:abstractNum>
  <w:abstractNum w:abstractNumId="3" w15:restartNumberingAfterBreak="0">
    <w:multiLevelType w:val="hybridMultilevel"/>
    <w:lvl w:ilvl="0" w15:tentative="1">
      <w:start w:val="1"/>
      <w:numFmt w:val="decimal"/>
      <w:lvlText w:val="%1."/>
      <w:lvlJc w:val="left"/>
      <w:pPr>
        <w:ind w:left="520" w:hanging="320"/>
      </w:pPr>
      <w:rPr>
        <w:rFonts w:ascii="Arial" w:cs="Arial" w:eastAsia="Arial" w:hAnsi="Arial"/>
        <w:color w:val="1B2A4A"/>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A0A0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2026-05-04T00:32:13.750Z</dcterms:created>
  <dcterms:modified xsi:type="dcterms:W3CDTF">2026-05-04T00:32:13.750Z</dcterms:modified>
</cp:coreProperties>
</file>

<file path=docProps/custom.xml><?xml version="1.0" encoding="utf-8"?>
<Properties xmlns="http://schemas.openxmlformats.org/officeDocument/2006/custom-properties" xmlns:vt="http://schemas.openxmlformats.org/officeDocument/2006/docPropsVTypes"/>
</file>