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3E72" w14:textId="77777777" w:rsidR="006401FE" w:rsidRPr="002B00B9" w:rsidRDefault="006401FE" w:rsidP="006F2FAA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2B00B9">
        <w:rPr>
          <w:rFonts w:ascii="Arial Narrow" w:hAnsi="Arial Narrow"/>
          <w:b/>
          <w:sz w:val="20"/>
          <w:szCs w:val="20"/>
        </w:rPr>
        <w:t>Информационные тренды рынка инфраструктурных проектов и ГЧП 2017 года.</w:t>
      </w:r>
    </w:p>
    <w:p w14:paraId="53FD75B4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Со времен первых концессий экспертное сообщество долгое время занималось популяризацией механизмов ГЧП. Рассказывали о безальтернативности и преимуществах ГЧП со всех доступных трибун, готовили рекламные буклеты о ГЧП, правили 115-ФЗ и писали 224-ФЗ, представляли ГЧП как панацею от всех бед. И своей цели добились, в настоящее время нет такого чиновника или эксперта, который бы хоть раз не упомянул в своей речи заветные три буквы – ГЧП. Федеральные органы власти и крупнейшие корпорации стали признавать сегмент ГЧП в качестве полноценной и перспективной рыночной ниши. Проектов стало много, но появилась и другая сторона. </w:t>
      </w:r>
    </w:p>
    <w:p w14:paraId="3D994F82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Рост популярности механизма ГЧП привел к тому, что сами проекты стали «красной тряпкой» для различных контрольно-надзорных органов, общественных и экологических организаций, политических оппонентов действующей власти. Недостаточная работа с конечными потребителями услуг и игнорирование мнения представителей населения в региональных и местных законодательных собраниях ставит под угрозу реализацию проектов ГЧП.</w:t>
      </w:r>
    </w:p>
    <w:p w14:paraId="3D8C1541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Подготовка проектов ГЧП всегда связана с юридическим, финансовым и техническим структурированием, но практически полностью упускается работа с политическими и информационными рисками.  Данные упущения могут стать причиной изменений в нормативно-правовом регулировании, возникновении медийных скандалов, обвинений в коррупции и аффилированности, низком качестве проработки проекта, что в итоге приводит к серьезным репутационным и финансовым потерям, начиная от необходимости вносить изменения в уже готовый проект или полной отмены конкурса и заканчивая судебными разбирательствами и пристальным вниманием правоохранительных органов. Истории известны случаи, когда долгосрочные инвесторы в инфраструктуру оказывались на скамье для подсудимых по причине неграмотной маркетинговой и информационной политики.</w:t>
      </w:r>
    </w:p>
    <w:p w14:paraId="26B0CF9F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2017 год был полон ярких событий на рынке инфраструктурных проектов и ГЧП. Далее постараемся разобрать громкие проекты с точки зрения работы с политическими и информационными рисками.</w:t>
      </w:r>
    </w:p>
    <w:p w14:paraId="6819CC85" w14:textId="77777777" w:rsidR="006401FE" w:rsidRPr="008D7E81" w:rsidRDefault="006401FE" w:rsidP="006401FE">
      <w:pPr>
        <w:jc w:val="both"/>
        <w:rPr>
          <w:rFonts w:ascii="Arial Narrow" w:hAnsi="Arial Narrow"/>
          <w:i/>
          <w:sz w:val="20"/>
          <w:szCs w:val="20"/>
        </w:rPr>
      </w:pPr>
      <w:bookmarkStart w:id="0" w:name="_GoBack"/>
      <w:r w:rsidRPr="008D7E81">
        <w:rPr>
          <w:rFonts w:ascii="Arial Narrow" w:hAnsi="Arial Narrow"/>
          <w:i/>
          <w:sz w:val="20"/>
          <w:szCs w:val="20"/>
        </w:rPr>
        <w:t>«</w:t>
      </w:r>
      <w:r w:rsidRPr="008D7E81">
        <w:rPr>
          <w:rFonts w:ascii="Arial Narrow" w:hAnsi="Arial Narrow" w:cs="Arial"/>
          <w:i/>
          <w:sz w:val="20"/>
          <w:szCs w:val="20"/>
        </w:rPr>
        <w:t>Мы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будем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преследовать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такие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концессии</w:t>
      </w:r>
      <w:r w:rsidRPr="008D7E81">
        <w:rPr>
          <w:rFonts w:ascii="Arial Narrow" w:hAnsi="Arial Narrow"/>
          <w:i/>
          <w:sz w:val="20"/>
          <w:szCs w:val="20"/>
        </w:rPr>
        <w:t xml:space="preserve">, </w:t>
      </w:r>
      <w:r w:rsidRPr="008D7E81">
        <w:rPr>
          <w:rFonts w:ascii="Arial Narrow" w:hAnsi="Arial Narrow" w:cs="Arial"/>
          <w:i/>
          <w:sz w:val="20"/>
          <w:szCs w:val="20"/>
        </w:rPr>
        <w:t>мы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будем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разрушать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их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через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суды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и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будем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стремиться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к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тому</w:t>
      </w:r>
      <w:r w:rsidRPr="008D7E81">
        <w:rPr>
          <w:rFonts w:ascii="Arial Narrow" w:hAnsi="Arial Narrow"/>
          <w:i/>
          <w:sz w:val="20"/>
          <w:szCs w:val="20"/>
        </w:rPr>
        <w:t xml:space="preserve">, </w:t>
      </w:r>
      <w:r w:rsidRPr="008D7E81">
        <w:rPr>
          <w:rFonts w:ascii="Arial Narrow" w:hAnsi="Arial Narrow" w:cs="Arial"/>
          <w:i/>
          <w:sz w:val="20"/>
          <w:szCs w:val="20"/>
        </w:rPr>
        <w:t>чтобы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эти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имитаторы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были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наказаны</w:t>
      </w:r>
      <w:r w:rsidRPr="008D7E81">
        <w:rPr>
          <w:rFonts w:ascii="Arial Narrow" w:hAnsi="Arial Narrow"/>
          <w:i/>
          <w:sz w:val="20"/>
          <w:szCs w:val="20"/>
        </w:rPr>
        <w:t>»</w:t>
      </w:r>
    </w:p>
    <w:p w14:paraId="40C7E847" w14:textId="77777777" w:rsidR="006401FE" w:rsidRPr="008D7E81" w:rsidRDefault="006401FE" w:rsidP="006401FE">
      <w:pPr>
        <w:spacing w:after="0"/>
        <w:jc w:val="right"/>
        <w:rPr>
          <w:rFonts w:ascii="Arial Narrow" w:hAnsi="Arial Narrow"/>
          <w:i/>
          <w:sz w:val="20"/>
          <w:szCs w:val="20"/>
        </w:rPr>
      </w:pPr>
      <w:r w:rsidRPr="008D7E81">
        <w:rPr>
          <w:rFonts w:ascii="Arial Narrow" w:hAnsi="Arial Narrow" w:cs="Arial"/>
          <w:i/>
          <w:sz w:val="20"/>
          <w:szCs w:val="20"/>
        </w:rPr>
        <w:t>Игорь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Артемьев</w:t>
      </w:r>
    </w:p>
    <w:p w14:paraId="5026BD17" w14:textId="77777777" w:rsidR="006401FE" w:rsidRPr="008D7E81" w:rsidRDefault="006401FE" w:rsidP="006401FE">
      <w:pPr>
        <w:spacing w:after="0"/>
        <w:jc w:val="right"/>
        <w:rPr>
          <w:rFonts w:ascii="Arial Narrow" w:hAnsi="Arial Narrow"/>
          <w:i/>
          <w:sz w:val="20"/>
          <w:szCs w:val="20"/>
        </w:rPr>
      </w:pPr>
      <w:r w:rsidRPr="008D7E81">
        <w:rPr>
          <w:rFonts w:ascii="Arial Narrow" w:hAnsi="Arial Narrow" w:cs="Arial"/>
          <w:i/>
          <w:sz w:val="20"/>
          <w:szCs w:val="20"/>
        </w:rPr>
        <w:t>Руководитель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ФАС</w:t>
      </w:r>
      <w:r w:rsidRPr="008D7E81">
        <w:rPr>
          <w:rFonts w:ascii="Arial Narrow" w:hAnsi="Arial Narrow"/>
          <w:i/>
          <w:sz w:val="20"/>
          <w:szCs w:val="20"/>
        </w:rPr>
        <w:t xml:space="preserve"> </w:t>
      </w:r>
      <w:r w:rsidRPr="008D7E81">
        <w:rPr>
          <w:rFonts w:ascii="Arial Narrow" w:hAnsi="Arial Narrow" w:cs="Arial"/>
          <w:i/>
          <w:sz w:val="20"/>
          <w:szCs w:val="20"/>
        </w:rPr>
        <w:t>России</w:t>
      </w:r>
    </w:p>
    <w:bookmarkEnd w:id="0"/>
    <w:p w14:paraId="7930F843" w14:textId="77777777" w:rsidR="006401FE" w:rsidRPr="00DC1CA8" w:rsidRDefault="006401FE" w:rsidP="006401FE">
      <w:pPr>
        <w:spacing w:after="0"/>
        <w:jc w:val="right"/>
        <w:rPr>
          <w:rFonts w:ascii="Arial Narrow" w:hAnsi="Arial Narrow"/>
          <w:sz w:val="20"/>
          <w:szCs w:val="20"/>
        </w:rPr>
      </w:pPr>
    </w:p>
    <w:p w14:paraId="66B12B88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Сезон 2017 начался с противостояния действующих инвесторов инфраструктурных проектов и ФАС России. Госкомитет Башкирии по транспорту и дорожному хозяйству организовал в 2016 году конкурс на строительство дороги Стерлитамак – </w:t>
      </w:r>
      <w:proofErr w:type="spellStart"/>
      <w:r w:rsidRPr="00DC1CA8">
        <w:rPr>
          <w:rFonts w:ascii="Arial Narrow" w:hAnsi="Arial Narrow"/>
          <w:sz w:val="20"/>
          <w:szCs w:val="20"/>
        </w:rPr>
        <w:t>Кага</w:t>
      </w:r>
      <w:proofErr w:type="spellEnd"/>
      <w:r w:rsidRPr="00DC1CA8">
        <w:rPr>
          <w:rFonts w:ascii="Arial Narrow" w:hAnsi="Arial Narrow"/>
          <w:sz w:val="20"/>
          <w:szCs w:val="20"/>
        </w:rPr>
        <w:t xml:space="preserve"> – Магнитогорск. В январе 2017 года ФАС предписала аннулировать результат, поскольку все расходы концессионера должны были покрываться государством. Госкомитет Башкирии и выигравший конкурс «</w:t>
      </w:r>
      <w:proofErr w:type="spellStart"/>
      <w:r w:rsidRPr="00DC1CA8">
        <w:rPr>
          <w:rFonts w:ascii="Arial Narrow" w:hAnsi="Arial Narrow"/>
          <w:sz w:val="20"/>
          <w:szCs w:val="20"/>
        </w:rPr>
        <w:t>Башкирдорстрой</w:t>
      </w:r>
      <w:proofErr w:type="spellEnd"/>
      <w:r w:rsidRPr="00DC1CA8">
        <w:rPr>
          <w:rFonts w:ascii="Arial Narrow" w:hAnsi="Arial Narrow"/>
          <w:sz w:val="20"/>
          <w:szCs w:val="20"/>
        </w:rPr>
        <w:t xml:space="preserve">» подали иски в суд. Позже данную историю стали называть «башкирским делом». </w:t>
      </w:r>
    </w:p>
    <w:p w14:paraId="7BA2F933" w14:textId="1F89E96C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На тему «башкирского дела» вышло более 50 публикаций в федеральных и региональных СМИ</w:t>
      </w:r>
      <w:r w:rsidR="00E27475" w:rsidRPr="00DC1CA8">
        <w:rPr>
          <w:rStyle w:val="af0"/>
          <w:rFonts w:ascii="Arial Narrow" w:hAnsi="Arial Narrow"/>
          <w:sz w:val="20"/>
          <w:szCs w:val="20"/>
        </w:rPr>
        <w:footnoteReference w:id="1"/>
      </w:r>
      <w:r w:rsidR="004204EA" w:rsidRPr="00DC1CA8">
        <w:rPr>
          <w:rFonts w:ascii="Arial Narrow" w:hAnsi="Arial Narrow"/>
          <w:sz w:val="20"/>
          <w:szCs w:val="20"/>
        </w:rPr>
        <w:t>.</w:t>
      </w:r>
    </w:p>
    <w:p w14:paraId="363F2379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Существует версия, что вся история с «башкирским делом» была частью борьбы между федеральными органами власти за влияние на рынок концессионных проектов. Поле боя чуть не стало могилой для самого рынка, так в замороженном состоянии оказались проекты на общую сумму более 270 млрд. руб.</w:t>
      </w:r>
      <w:r w:rsidRPr="00DC1CA8">
        <w:rPr>
          <w:rStyle w:val="af0"/>
          <w:rFonts w:ascii="Arial Narrow" w:hAnsi="Arial Narrow"/>
          <w:sz w:val="20"/>
          <w:szCs w:val="20"/>
        </w:rPr>
        <w:footnoteReference w:id="2"/>
      </w:r>
      <w:r w:rsidRPr="00DC1CA8">
        <w:rPr>
          <w:rFonts w:ascii="Arial Narrow" w:hAnsi="Arial Narrow"/>
          <w:sz w:val="20"/>
          <w:szCs w:val="20"/>
        </w:rPr>
        <w:t xml:space="preserve"> </w:t>
      </w:r>
    </w:p>
    <w:p w14:paraId="4B0C3B8A" w14:textId="6772F1A5" w:rsidR="006401FE" w:rsidRPr="00DC1CA8" w:rsidRDefault="006401FE" w:rsidP="006F2FAA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«Башкирское дело» стало первым ярким примером консолидации экспертного и инвестиционного сообщества в борьбе за отстаивание интересов бизнеса. Планируя свое участие в проекте не стоит пренебрегать развитием горизонтальных связей. Несмотря на то, что решение дела лежало в правовой плоскости, история сопровождалась активным лоббизмом на самом высоком уровне и публикациями в СМИ. Не стоит забывать, что инфраструктурные проекты – это большие деньги и для защиты своих интересов участники могут привлекать серьезные ресурсы. Связка юристы плюс пиарщики показала свою эффективность. На фоне данного конфликта был основан «Инфраструктурный клуб»</w:t>
      </w:r>
      <w:r w:rsidRPr="00DC1CA8">
        <w:rPr>
          <w:rStyle w:val="af0"/>
          <w:rFonts w:ascii="Arial Narrow" w:hAnsi="Arial Narrow"/>
          <w:sz w:val="20"/>
          <w:szCs w:val="20"/>
        </w:rPr>
        <w:footnoteReference w:id="3"/>
      </w:r>
      <w:r w:rsidRPr="00DC1CA8">
        <w:rPr>
          <w:rFonts w:ascii="Arial Narrow" w:hAnsi="Arial Narrow"/>
          <w:sz w:val="20"/>
          <w:szCs w:val="20"/>
        </w:rPr>
        <w:t xml:space="preserve">, одной из задач </w:t>
      </w:r>
    </w:p>
    <w:p w14:paraId="2E5C5E9C" w14:textId="5ECD490F" w:rsidR="006401FE" w:rsidRPr="00DC1CA8" w:rsidRDefault="006401FE" w:rsidP="006F2FAA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lastRenderedPageBreak/>
        <w:t>Примерно в это же время в Новосибирске набирала обороты другая история. Против повышения тарифов на коммунальные услуги выступили некоторые депутаты законодательного собрания Новосибирской области и депутаты городского совета г. Новосибирска. Было организовано несколько митингов, после чего правительство приняло решение об отказе от повышения тарифов. Мероприятия были организованы депутатами-коммунистами, но при этом в одном из митингов успел поучаствовать и Алексей Навальный, заявив, что результат митинга – это его заслуга. Почувствовав вкус крови, депутаты и общественные активисты обратили свое внимание на концессионное соглашение о создании и эксплуатации системы коммунальной инфраструктуры – объектов, используемых для обработки, обезвреживания и захоронения твердых коммунальных отходов, заключенное 22.07.2016 между Министерством жилищно-коммунального хозяйства и энергетики Новосибирской области и ООО «Экология-Новосибирск» на 40 лет, проект позже стали называть «мусорная концессия».</w:t>
      </w:r>
      <w:r w:rsidR="003338B0" w:rsidRPr="00DC1CA8">
        <w:rPr>
          <w:rFonts w:ascii="Arial Narrow" w:hAnsi="Arial Narrow"/>
          <w:sz w:val="20"/>
          <w:szCs w:val="20"/>
        </w:rPr>
        <w:t xml:space="preserve"> </w:t>
      </w:r>
      <w:r w:rsidR="001228F0" w:rsidRPr="00DC1CA8">
        <w:rPr>
          <w:rFonts w:ascii="Arial Narrow" w:hAnsi="Arial Narrow"/>
          <w:sz w:val="20"/>
          <w:szCs w:val="20"/>
        </w:rPr>
        <w:t xml:space="preserve">Информационная атака </w:t>
      </w:r>
      <w:r w:rsidR="001A4B10" w:rsidRPr="00DC1CA8">
        <w:rPr>
          <w:rFonts w:ascii="Arial Narrow" w:hAnsi="Arial Narrow"/>
          <w:sz w:val="20"/>
          <w:szCs w:val="20"/>
        </w:rPr>
        <w:t xml:space="preserve">поражала плотностью публикаций, ежедневно на протяжении нескольких месяцев </w:t>
      </w:r>
      <w:r w:rsidR="002C4D0F" w:rsidRPr="00DC1CA8">
        <w:rPr>
          <w:rFonts w:ascii="Arial Narrow" w:hAnsi="Arial Narrow"/>
          <w:sz w:val="20"/>
          <w:szCs w:val="20"/>
        </w:rPr>
        <w:t>выходило в свет не менее трех статей</w:t>
      </w:r>
      <w:r w:rsidR="00633179" w:rsidRPr="00DC1CA8">
        <w:rPr>
          <w:rFonts w:ascii="Arial Narrow" w:hAnsi="Arial Narrow"/>
          <w:sz w:val="20"/>
          <w:szCs w:val="20"/>
        </w:rPr>
        <w:t xml:space="preserve">, и характером сообщений, </w:t>
      </w:r>
      <w:r w:rsidR="008F28C7" w:rsidRPr="00DC1CA8">
        <w:rPr>
          <w:rFonts w:ascii="Arial Narrow" w:hAnsi="Arial Narrow"/>
          <w:sz w:val="20"/>
          <w:szCs w:val="20"/>
        </w:rPr>
        <w:t>90% всех</w:t>
      </w:r>
      <w:r w:rsidR="00AC1C0A" w:rsidRPr="00DC1CA8">
        <w:rPr>
          <w:rFonts w:ascii="Arial Narrow" w:hAnsi="Arial Narrow"/>
          <w:sz w:val="20"/>
          <w:szCs w:val="20"/>
        </w:rPr>
        <w:t xml:space="preserve"> материал</w:t>
      </w:r>
      <w:r w:rsidR="008F28C7" w:rsidRPr="00DC1CA8">
        <w:rPr>
          <w:rFonts w:ascii="Arial Narrow" w:hAnsi="Arial Narrow"/>
          <w:sz w:val="20"/>
          <w:szCs w:val="20"/>
        </w:rPr>
        <w:t>ов</w:t>
      </w:r>
      <w:r w:rsidR="00AC1C0A" w:rsidRPr="00DC1CA8">
        <w:rPr>
          <w:rFonts w:ascii="Arial Narrow" w:hAnsi="Arial Narrow"/>
          <w:sz w:val="20"/>
          <w:szCs w:val="20"/>
        </w:rPr>
        <w:t xml:space="preserve"> </w:t>
      </w:r>
      <w:r w:rsidR="008F28C7" w:rsidRPr="00DC1CA8">
        <w:rPr>
          <w:rFonts w:ascii="Arial Narrow" w:hAnsi="Arial Narrow"/>
          <w:sz w:val="20"/>
          <w:szCs w:val="20"/>
        </w:rPr>
        <w:t>содержало</w:t>
      </w:r>
      <w:r w:rsidR="00B077C5" w:rsidRPr="00DC1CA8">
        <w:rPr>
          <w:rFonts w:ascii="Arial Narrow" w:hAnsi="Arial Narrow"/>
          <w:sz w:val="20"/>
          <w:szCs w:val="20"/>
        </w:rPr>
        <w:t xml:space="preserve"> критику проекта</w:t>
      </w:r>
      <w:r w:rsidR="0067275C" w:rsidRPr="00DC1CA8">
        <w:rPr>
          <w:rStyle w:val="af0"/>
          <w:rFonts w:ascii="Arial Narrow" w:hAnsi="Arial Narrow"/>
          <w:sz w:val="20"/>
          <w:szCs w:val="20"/>
        </w:rPr>
        <w:footnoteReference w:id="4"/>
      </w:r>
      <w:r w:rsidR="00B077C5" w:rsidRPr="00DC1CA8">
        <w:rPr>
          <w:rFonts w:ascii="Arial Narrow" w:hAnsi="Arial Narrow"/>
          <w:sz w:val="20"/>
          <w:szCs w:val="20"/>
        </w:rPr>
        <w:t>.</w:t>
      </w:r>
    </w:p>
    <w:p w14:paraId="28A653A0" w14:textId="77777777" w:rsidR="006401FE" w:rsidRPr="00DC1CA8" w:rsidRDefault="006401FE" w:rsidP="006401FE">
      <w:pPr>
        <w:spacing w:after="120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Очевидно, что предполагаемой целью информационной атаки была отмена или корректировка заключенного концессионного соглашения на строительство двух предприятий по утилизации ТКО в Новосибирской области. Но при этом решались и другие задачи, в числе которых был набор политических очков и формирование репутации «борца за справедливость» конкретных активистов, а также включение депутатов законодательного собрания Новосибирской области и депутатов городского совета г. Новосибирска в процесс обсуждения планируемых концессионных проектов.</w:t>
      </w:r>
    </w:p>
    <w:p w14:paraId="0FE2E982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Основными обвинениями в адрес сторон концессионного соглашения стали следующие тезисы:</w:t>
      </w:r>
    </w:p>
    <w:p w14:paraId="0F24E58A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Недостаточно широкое освещение конкурса на право заключения концессионного соглашения, из-за чего правительство заключило договор с единственным заявившимся участником.</w:t>
      </w:r>
    </w:p>
    <w:p w14:paraId="15869349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Отсутствие предварительного обсуждения параметров концессии на 40 лет с законодательными органами власти Новосибирской области.</w:t>
      </w:r>
    </w:p>
    <w:p w14:paraId="66CD1B2E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Возможность увеличения тарифов на вывоз мусора на 200-300%.</w:t>
      </w:r>
    </w:p>
    <w:p w14:paraId="65988E5F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Гарантии доходов концессионера за счёт бюджета Новосибирской области в размере 120 млрд рублей. Завышенный объем гарантированного дохода.</w:t>
      </w:r>
    </w:p>
    <w:p w14:paraId="289ACA79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Завышены перспективные объемы загрузки мусоросортировочных комплексов.</w:t>
      </w:r>
    </w:p>
    <w:p w14:paraId="55565661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«Особые обстоятельства», прописанные в концессионном соглашении, относятся к коммерческим рискам концессионера или обстоятельствам непреодолимой силы и не должны компенсироваться за счет концедента. Правительство Новосибирской области взяло на себя излишние обязательства.</w:t>
      </w:r>
    </w:p>
    <w:p w14:paraId="6C3C9995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Угроза для экологии в месте строительства мусорных полигонов в районе Раздольного и Верх-Тулы.</w:t>
      </w:r>
    </w:p>
    <w:p w14:paraId="6BDCDADE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Противоречие требованиям Росавиации по размещению мусорных полигонов.</w:t>
      </w:r>
    </w:p>
    <w:p w14:paraId="12C56CAA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Приобретение американского оборудования в разгар санкционной войны.</w:t>
      </w:r>
    </w:p>
    <w:p w14:paraId="3AE66C88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Вопросы по технологии переработки с точки зрения её перспективности на 40 лет вперёд.</w:t>
      </w:r>
    </w:p>
    <w:p w14:paraId="34DE6EC8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Вопросы о состоятельности компании «Экология-Новосибирск» (растущий долг) и репутации её учредителей.</w:t>
      </w:r>
    </w:p>
    <w:p w14:paraId="544CAC2C" w14:textId="77777777" w:rsidR="006401FE" w:rsidRPr="00DC1CA8" w:rsidRDefault="006401FE" w:rsidP="006F2FAA">
      <w:pPr>
        <w:pStyle w:val="a3"/>
        <w:numPr>
          <w:ilvl w:val="1"/>
          <w:numId w:val="16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Подозрения в коррумпированности представителей органов исполнительной власти Новосибирской области.</w:t>
      </w:r>
    </w:p>
    <w:p w14:paraId="1C75F2B2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Полная эмоций популистская риторика представителей общественности позволила обвинениям обрести силу и создать существенные риски перед концессионером и концедентом.</w:t>
      </w:r>
    </w:p>
    <w:p w14:paraId="73EC60EA" w14:textId="77777777" w:rsidR="006401FE" w:rsidRPr="00DC1CA8" w:rsidRDefault="006401FE" w:rsidP="004204EA">
      <w:pPr>
        <w:spacing w:after="120"/>
        <w:jc w:val="both"/>
        <w:outlineLvl w:val="0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Риски для концессионера</w:t>
      </w:r>
    </w:p>
    <w:p w14:paraId="4E4EF16F" w14:textId="77777777" w:rsidR="006401FE" w:rsidRPr="00DC1CA8" w:rsidRDefault="006401FE" w:rsidP="006401FE">
      <w:pPr>
        <w:pStyle w:val="a3"/>
        <w:spacing w:after="120"/>
        <w:ind w:left="360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Репутационные риски:</w:t>
      </w:r>
    </w:p>
    <w:p w14:paraId="4591160D" w14:textId="77777777" w:rsidR="006401FE" w:rsidRPr="00DC1CA8" w:rsidRDefault="006401FE" w:rsidP="006401FE">
      <w:pPr>
        <w:pStyle w:val="a3"/>
        <w:numPr>
          <w:ilvl w:val="0"/>
          <w:numId w:val="11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Скандальная компания и ее участники.</w:t>
      </w:r>
    </w:p>
    <w:p w14:paraId="6A07CBAF" w14:textId="77777777" w:rsidR="006401FE" w:rsidRPr="00DC1CA8" w:rsidRDefault="006401FE" w:rsidP="006401FE">
      <w:pPr>
        <w:pStyle w:val="a3"/>
        <w:numPr>
          <w:ilvl w:val="0"/>
          <w:numId w:val="11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Не умеют грамотно структурировать концессионные проекты. </w:t>
      </w:r>
    </w:p>
    <w:p w14:paraId="481DE60B" w14:textId="77777777" w:rsidR="006401FE" w:rsidRPr="00DC1CA8" w:rsidRDefault="006401FE" w:rsidP="006401FE">
      <w:pPr>
        <w:pStyle w:val="a3"/>
        <w:numPr>
          <w:ilvl w:val="0"/>
          <w:numId w:val="11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Компания совершенно не заботится об экологической ситуации.</w:t>
      </w:r>
    </w:p>
    <w:p w14:paraId="3E0F1C4C" w14:textId="77777777" w:rsidR="006401FE" w:rsidRPr="00DC1CA8" w:rsidRDefault="006401FE" w:rsidP="006401FE">
      <w:pPr>
        <w:pStyle w:val="a3"/>
        <w:numPr>
          <w:ilvl w:val="0"/>
          <w:numId w:val="11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Компания использует коррупционные схемы.</w:t>
      </w:r>
    </w:p>
    <w:p w14:paraId="64BD6374" w14:textId="77777777" w:rsidR="006401FE" w:rsidRPr="00DC1CA8" w:rsidRDefault="006401FE" w:rsidP="006401FE">
      <w:pPr>
        <w:pStyle w:val="a3"/>
        <w:numPr>
          <w:ilvl w:val="0"/>
          <w:numId w:val="11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Отсутствие собственных финансовых средств.</w:t>
      </w:r>
    </w:p>
    <w:p w14:paraId="509D3CCB" w14:textId="77777777" w:rsidR="006401FE" w:rsidRPr="00DC1CA8" w:rsidRDefault="006401FE" w:rsidP="006401FE">
      <w:pPr>
        <w:pStyle w:val="a3"/>
        <w:spacing w:after="120"/>
        <w:ind w:left="360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Финансовые риски:</w:t>
      </w:r>
    </w:p>
    <w:p w14:paraId="3B3227EA" w14:textId="77777777" w:rsidR="006401FE" w:rsidRPr="00DC1CA8" w:rsidRDefault="006401FE" w:rsidP="006401FE">
      <w:pPr>
        <w:pStyle w:val="a3"/>
        <w:numPr>
          <w:ilvl w:val="0"/>
          <w:numId w:val="12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lastRenderedPageBreak/>
        <w:t>Возможное расторжение или изменение условий концессионного соглашения, например, в случае переноса места строительства одного из полигонов.</w:t>
      </w:r>
    </w:p>
    <w:p w14:paraId="32015D11" w14:textId="347C7B0A" w:rsidR="006401FE" w:rsidRPr="00DC1CA8" w:rsidRDefault="006401FE" w:rsidP="006401FE">
      <w:pPr>
        <w:pStyle w:val="a3"/>
        <w:numPr>
          <w:ilvl w:val="0"/>
          <w:numId w:val="12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Потеря средств, затраченных на структурирование проекта.</w:t>
      </w:r>
    </w:p>
    <w:p w14:paraId="795C1FF3" w14:textId="77777777" w:rsidR="006401FE" w:rsidRPr="00DC1CA8" w:rsidRDefault="006401FE" w:rsidP="004204EA">
      <w:pPr>
        <w:spacing w:after="120"/>
        <w:jc w:val="both"/>
        <w:outlineLvl w:val="0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Риски для концедента</w:t>
      </w:r>
    </w:p>
    <w:p w14:paraId="5E42B81E" w14:textId="77777777" w:rsidR="006401FE" w:rsidRPr="00DC1CA8" w:rsidRDefault="006401FE" w:rsidP="006401FE">
      <w:pPr>
        <w:pStyle w:val="a3"/>
        <w:spacing w:after="120"/>
        <w:ind w:left="360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Репутационные риски:</w:t>
      </w:r>
    </w:p>
    <w:p w14:paraId="409E4711" w14:textId="77777777" w:rsidR="006401FE" w:rsidRPr="00DC1CA8" w:rsidRDefault="006401FE" w:rsidP="006401FE">
      <w:pPr>
        <w:pStyle w:val="a3"/>
        <w:numPr>
          <w:ilvl w:val="0"/>
          <w:numId w:val="13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Слабая позиция Правительства Новосибирской области. Неспособность отстаивать принятые решения.</w:t>
      </w:r>
    </w:p>
    <w:p w14:paraId="13192DCC" w14:textId="77777777" w:rsidR="006401FE" w:rsidRPr="00DC1CA8" w:rsidRDefault="006401FE" w:rsidP="006401FE">
      <w:pPr>
        <w:pStyle w:val="a3"/>
        <w:numPr>
          <w:ilvl w:val="0"/>
          <w:numId w:val="13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Снижение инвестиционной привлекательности Новосибирской области.</w:t>
      </w:r>
    </w:p>
    <w:p w14:paraId="47FE9DB0" w14:textId="77777777" w:rsidR="006401FE" w:rsidRPr="00DC1CA8" w:rsidRDefault="006401FE" w:rsidP="006401FE">
      <w:pPr>
        <w:pStyle w:val="a3"/>
        <w:numPr>
          <w:ilvl w:val="0"/>
          <w:numId w:val="13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Недоговороспособность Правительства Новосибирской области.</w:t>
      </w:r>
    </w:p>
    <w:p w14:paraId="0DF433B8" w14:textId="77777777" w:rsidR="006401FE" w:rsidRPr="00DC1CA8" w:rsidRDefault="006401FE" w:rsidP="006401FE">
      <w:pPr>
        <w:pStyle w:val="a3"/>
        <w:numPr>
          <w:ilvl w:val="0"/>
          <w:numId w:val="13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Коррупция в Правительстве Новосибирской области.</w:t>
      </w:r>
    </w:p>
    <w:p w14:paraId="6C70D7F5" w14:textId="77777777" w:rsidR="006401FE" w:rsidRPr="00DC1CA8" w:rsidRDefault="006401FE" w:rsidP="006401FE">
      <w:pPr>
        <w:pStyle w:val="a3"/>
        <w:numPr>
          <w:ilvl w:val="0"/>
          <w:numId w:val="13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Снижение уровня доверия к Правительству Новосибирской области.</w:t>
      </w:r>
    </w:p>
    <w:p w14:paraId="4019C219" w14:textId="77777777" w:rsidR="006401FE" w:rsidRPr="00DC1CA8" w:rsidRDefault="006401FE" w:rsidP="006401FE">
      <w:pPr>
        <w:pStyle w:val="a3"/>
        <w:spacing w:after="120"/>
        <w:ind w:left="360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Финансовые риски:</w:t>
      </w:r>
    </w:p>
    <w:p w14:paraId="373808BB" w14:textId="77777777" w:rsidR="006401FE" w:rsidRPr="00DC1CA8" w:rsidRDefault="006401FE" w:rsidP="006401FE">
      <w:pPr>
        <w:pStyle w:val="a3"/>
        <w:numPr>
          <w:ilvl w:val="0"/>
          <w:numId w:val="14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Компенсация затрат концессионеру в случае расторжения концессионного соглашения.</w:t>
      </w:r>
    </w:p>
    <w:p w14:paraId="7BB3CAFE" w14:textId="77777777" w:rsidR="006401FE" w:rsidRPr="00DC1CA8" w:rsidRDefault="006401FE" w:rsidP="006401FE">
      <w:pPr>
        <w:pStyle w:val="a3"/>
        <w:numPr>
          <w:ilvl w:val="0"/>
          <w:numId w:val="14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Потеря налоговых поступлений от реализации концессионного проекта.</w:t>
      </w:r>
    </w:p>
    <w:p w14:paraId="3B7F630B" w14:textId="77777777" w:rsidR="006401FE" w:rsidRPr="00DC1CA8" w:rsidRDefault="006401FE" w:rsidP="006401FE">
      <w:pPr>
        <w:pStyle w:val="a3"/>
        <w:numPr>
          <w:ilvl w:val="0"/>
          <w:numId w:val="14"/>
        </w:numPr>
        <w:spacing w:after="120"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Потеря потенциальных инвесторов других проектов в следствие снижения инвестиционной привлекательности региона.</w:t>
      </w:r>
    </w:p>
    <w:p w14:paraId="21075EB6" w14:textId="77777777" w:rsidR="006401FE" w:rsidRPr="00DC1CA8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Поставленные противниками концессии задачи были частично выполнены: место строительства одного из полигонов было изменено, условия соглашения пересматриваются, депутаты были включены во все возможные рабочие группы по обсуждению проектов ГЧП, активисты повысили собственную цитируемость в СМИ, возможно смогли заработать. Постараемся сделать некоторые выводы из данной истории:</w:t>
      </w:r>
    </w:p>
    <w:p w14:paraId="32C92B0F" w14:textId="77777777" w:rsidR="006401FE" w:rsidRPr="00DC1CA8" w:rsidRDefault="006401FE" w:rsidP="006401FE">
      <w:pPr>
        <w:pStyle w:val="a3"/>
        <w:numPr>
          <w:ilvl w:val="0"/>
          <w:numId w:val="15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В рамках решения общих задач возможна консолидация очень разных политических групп, которые находятся в оппозиции к действующей власти. Даже несмотря на то, что в обычное время организации не садятся друг с другом за один стол.</w:t>
      </w:r>
    </w:p>
    <w:p w14:paraId="6A85A81A" w14:textId="77777777" w:rsidR="006401FE" w:rsidRPr="00DC1CA8" w:rsidRDefault="006401FE" w:rsidP="006401FE">
      <w:pPr>
        <w:pStyle w:val="a3"/>
        <w:numPr>
          <w:ilvl w:val="0"/>
          <w:numId w:val="15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 xml:space="preserve">Концессионеру нельзя перекладывать все политические и информационные риски исключительно на концедента. Хотя, как правило, именно концедент должен закрывать политические риски. Нужно перестраховываться и заранее понимать план собственных </w:t>
      </w:r>
      <w:proofErr w:type="gramStart"/>
      <w:r w:rsidRPr="00DC1CA8">
        <w:rPr>
          <w:rFonts w:ascii="Arial Narrow" w:hAnsi="Arial Narrow"/>
          <w:sz w:val="20"/>
          <w:szCs w:val="20"/>
        </w:rPr>
        <w:t>действий, на случай, если</w:t>
      </w:r>
      <w:proofErr w:type="gramEnd"/>
      <w:r w:rsidRPr="00DC1CA8">
        <w:rPr>
          <w:rFonts w:ascii="Arial Narrow" w:hAnsi="Arial Narrow"/>
          <w:sz w:val="20"/>
          <w:szCs w:val="20"/>
        </w:rPr>
        <w:t xml:space="preserve"> публичный партнер по каким-то причинам не может задействовать свой административный ресурс.</w:t>
      </w:r>
    </w:p>
    <w:p w14:paraId="248EDC7E" w14:textId="77777777" w:rsidR="006401FE" w:rsidRPr="00DC1CA8" w:rsidRDefault="006401FE" w:rsidP="006401FE">
      <w:pPr>
        <w:pStyle w:val="a3"/>
        <w:numPr>
          <w:ilvl w:val="0"/>
          <w:numId w:val="15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Равнозначна и обратная ситуация. Концедент не должен перекладывать все информационно-коммуникационные риски на концессионера. Должно быть четкое понимание, на какой стадии жизненного цикла проекта какая из сторон за что отвечает. Например, функция обоснования целесообразности реализации инфраструктурного проекта находится в зоне ответственности публичного партнера. Исключением является частная инициатива.</w:t>
      </w:r>
    </w:p>
    <w:p w14:paraId="17AD8898" w14:textId="77777777" w:rsidR="006401FE" w:rsidRPr="00DC1CA8" w:rsidRDefault="006401FE" w:rsidP="006401FE">
      <w:pPr>
        <w:pStyle w:val="a3"/>
        <w:numPr>
          <w:ilvl w:val="0"/>
          <w:numId w:val="15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Исполняющий обязанности руководителя проекта должен быть не только прекрасным специалистом, но и хорошим оратором, который способен мотивировать команду и убедительно отстаивать собственные интересы в публичной плоскости. Если создать такого человека внутри компании не получается, то можно воспользоваться услугами специализированных агентств, которые будут представлять заказчика.</w:t>
      </w:r>
    </w:p>
    <w:p w14:paraId="775DF93F" w14:textId="77777777" w:rsidR="006401FE" w:rsidRPr="00DC1CA8" w:rsidRDefault="006401FE" w:rsidP="006401FE">
      <w:pPr>
        <w:pStyle w:val="a3"/>
        <w:numPr>
          <w:ilvl w:val="0"/>
          <w:numId w:val="15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Публикация материалов негативного характера в отношении концессионного проекта на одних и тех же информационных ресурсах наводит на мысли об изначальной предвзятости авторов и ангажированности самих СМИ.</w:t>
      </w:r>
    </w:p>
    <w:p w14:paraId="6B2FD168" w14:textId="77777777" w:rsidR="006401FE" w:rsidRPr="00DC1CA8" w:rsidRDefault="006401FE" w:rsidP="006401FE">
      <w:pPr>
        <w:pStyle w:val="a3"/>
        <w:numPr>
          <w:ilvl w:val="0"/>
          <w:numId w:val="15"/>
        </w:numPr>
        <w:spacing w:line="256" w:lineRule="auto"/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С приходом группы «ВИС» коммуникации стали более организованные, но учитывая запущенное состояние, оперативно переломить ситуацию не получилось. Необходимо заранее прогнозировать кризисные ситуации и готовить сценарии их нивелирования. Даже если состав акционеров будет меняться у менеджмента должна сохраняться «красная папка» с готовыми решениями на все случаи жизни.</w:t>
      </w:r>
    </w:p>
    <w:p w14:paraId="6C3A2477" w14:textId="5F05B908" w:rsidR="006401FE" w:rsidRDefault="006401FE" w:rsidP="006401FE">
      <w:pPr>
        <w:jc w:val="both"/>
        <w:rPr>
          <w:rFonts w:ascii="Arial Narrow" w:hAnsi="Arial Narrow"/>
          <w:sz w:val="20"/>
          <w:szCs w:val="20"/>
        </w:rPr>
      </w:pPr>
      <w:r w:rsidRPr="00DC1CA8">
        <w:rPr>
          <w:rFonts w:ascii="Arial Narrow" w:hAnsi="Arial Narrow"/>
          <w:sz w:val="20"/>
          <w:szCs w:val="20"/>
        </w:rPr>
        <w:t>Надеемся, что участники рынка инфраструктурных проектов будут учиться на чужих ошибках и в 2018 году будут уделять большее внимание работе с политическими и информационными рисками.</w:t>
      </w:r>
    </w:p>
    <w:p w14:paraId="799842CB" w14:textId="61474C3F" w:rsidR="002B00B9" w:rsidRDefault="002B00B9" w:rsidP="006401FE">
      <w:pPr>
        <w:jc w:val="both"/>
        <w:rPr>
          <w:rFonts w:ascii="Arial Narrow" w:hAnsi="Arial Narrow"/>
          <w:sz w:val="20"/>
          <w:szCs w:val="20"/>
        </w:rPr>
      </w:pPr>
    </w:p>
    <w:p w14:paraId="6AE456B3" w14:textId="77777777" w:rsidR="009F4CFF" w:rsidRPr="009F4CFF" w:rsidRDefault="009F4CFF" w:rsidP="009F4CFF">
      <w:pPr>
        <w:jc w:val="both"/>
        <w:rPr>
          <w:rFonts w:ascii="Arial Narrow" w:hAnsi="Arial Narrow"/>
          <w:i/>
          <w:sz w:val="20"/>
          <w:szCs w:val="20"/>
        </w:rPr>
      </w:pPr>
      <w:r w:rsidRPr="009F4CFF">
        <w:rPr>
          <w:rFonts w:ascii="Arial Narrow" w:hAnsi="Arial Narrow"/>
          <w:i/>
          <w:sz w:val="20"/>
          <w:szCs w:val="20"/>
        </w:rPr>
        <w:t xml:space="preserve">Статья опубликована в годовом докладе «Долгосрочные институциональные инвестиции в инфраструктуру России на основе концессии: итоги 2017 года» подготовлен Аналитической службой Национальной ассоциации </w:t>
      </w:r>
      <w:r w:rsidRPr="009F4CFF">
        <w:rPr>
          <w:rFonts w:ascii="Arial Narrow" w:hAnsi="Arial Narrow"/>
          <w:i/>
          <w:sz w:val="20"/>
          <w:szCs w:val="20"/>
        </w:rPr>
        <w:lastRenderedPageBreak/>
        <w:t xml:space="preserve">концессионеров и долгосрочных инвесторов в инфраструктуру (НАКДИ). </w:t>
      </w:r>
      <w:hyperlink r:id="rId8" w:history="1">
        <w:r w:rsidRPr="009F4CFF">
          <w:rPr>
            <w:rStyle w:val="a4"/>
            <w:rFonts w:ascii="Arial Narrow" w:hAnsi="Arial Narrow"/>
            <w:i/>
            <w:sz w:val="20"/>
            <w:szCs w:val="20"/>
          </w:rPr>
          <w:t>https://investinfra.ru/frontend/images/PDF/nakdi-annual-report-2017.pdf</w:t>
        </w:r>
      </w:hyperlink>
      <w:r w:rsidRPr="009F4CFF">
        <w:rPr>
          <w:rFonts w:ascii="Arial Narrow" w:hAnsi="Arial Narrow"/>
          <w:i/>
          <w:sz w:val="20"/>
          <w:szCs w:val="20"/>
        </w:rPr>
        <w:t xml:space="preserve"> </w:t>
      </w:r>
    </w:p>
    <w:p w14:paraId="54DF10EE" w14:textId="77777777" w:rsidR="009F4CFF" w:rsidRDefault="009F4CFF" w:rsidP="009F4CFF">
      <w:pPr>
        <w:spacing w:after="0"/>
        <w:jc w:val="right"/>
        <w:outlineLvl w:val="0"/>
        <w:rPr>
          <w:rFonts w:ascii="Arial Narrow" w:hAnsi="Arial Narrow"/>
          <w:sz w:val="20"/>
          <w:szCs w:val="20"/>
        </w:rPr>
      </w:pPr>
    </w:p>
    <w:p w14:paraId="0C9956B3" w14:textId="77777777" w:rsidR="009F4CFF" w:rsidRDefault="009F4CFF" w:rsidP="009F4CFF">
      <w:pPr>
        <w:spacing w:after="0"/>
        <w:jc w:val="right"/>
        <w:outlineLv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Артур Щеглов</w:t>
      </w:r>
    </w:p>
    <w:p w14:paraId="719FDB81" w14:textId="77777777" w:rsidR="009F4CFF" w:rsidRDefault="009F4CFF" w:rsidP="009F4CFF">
      <w:pPr>
        <w:spacing w:after="0"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Управляющий партнер Стратегической группы «Гиперион»,</w:t>
      </w:r>
    </w:p>
    <w:p w14:paraId="1CB4D2D6" w14:textId="77777777" w:rsidR="009F4CFF" w:rsidRDefault="009F4CFF" w:rsidP="009F4CFF">
      <w:pPr>
        <w:spacing w:after="0"/>
        <w:jc w:val="right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</w:rPr>
        <w:t>Координатор «Инфраструктурного клуба» (</w:t>
      </w:r>
      <w:r>
        <w:rPr>
          <w:rFonts w:ascii="Arial Narrow" w:hAnsi="Arial Narrow"/>
          <w:sz w:val="20"/>
          <w:szCs w:val="20"/>
          <w:lang w:val="en-US"/>
        </w:rPr>
        <w:t>InfraClub)</w:t>
      </w:r>
    </w:p>
    <w:p w14:paraId="60090FAA" w14:textId="77777777" w:rsidR="009F4CFF" w:rsidRDefault="009F4CFF" w:rsidP="009F4CFF">
      <w:pPr>
        <w:spacing w:after="0"/>
        <w:jc w:val="right"/>
        <w:rPr>
          <w:rFonts w:ascii="Arial Narrow" w:hAnsi="Arial Narrow"/>
          <w:sz w:val="20"/>
          <w:szCs w:val="20"/>
          <w:lang w:val="en-US"/>
        </w:rPr>
      </w:pPr>
    </w:p>
    <w:p w14:paraId="4F54207C" w14:textId="375CEC0F" w:rsidR="00144A8D" w:rsidRPr="008C32A0" w:rsidRDefault="00144A8D" w:rsidP="009F4CFF">
      <w:pPr>
        <w:jc w:val="both"/>
        <w:rPr>
          <w:rFonts w:ascii="Arial Narrow" w:hAnsi="Arial Narrow"/>
          <w:sz w:val="20"/>
          <w:szCs w:val="20"/>
          <w:lang w:val="en-US"/>
        </w:rPr>
      </w:pPr>
    </w:p>
    <w:sectPr w:rsidR="00144A8D" w:rsidRPr="008C32A0" w:rsidSect="0000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15D3" w14:textId="77777777" w:rsidR="003C1354" w:rsidRDefault="003C1354" w:rsidP="00B52F82">
      <w:pPr>
        <w:spacing w:after="0" w:line="240" w:lineRule="auto"/>
      </w:pPr>
      <w:r>
        <w:separator/>
      </w:r>
    </w:p>
  </w:endnote>
  <w:endnote w:type="continuationSeparator" w:id="0">
    <w:p w14:paraId="22036B1B" w14:textId="77777777" w:rsidR="003C1354" w:rsidRDefault="003C1354" w:rsidP="00B5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D3377" w14:textId="77777777" w:rsidR="003C1354" w:rsidRDefault="003C1354" w:rsidP="00B52F82">
      <w:pPr>
        <w:spacing w:after="0" w:line="240" w:lineRule="auto"/>
      </w:pPr>
      <w:r>
        <w:separator/>
      </w:r>
    </w:p>
  </w:footnote>
  <w:footnote w:type="continuationSeparator" w:id="0">
    <w:p w14:paraId="0F5D4DAB" w14:textId="77777777" w:rsidR="003C1354" w:rsidRDefault="003C1354" w:rsidP="00B52F82">
      <w:pPr>
        <w:spacing w:after="0" w:line="240" w:lineRule="auto"/>
      </w:pPr>
      <w:r>
        <w:continuationSeparator/>
      </w:r>
    </w:p>
  </w:footnote>
  <w:footnote w:id="1">
    <w:p w14:paraId="08CC95E0" w14:textId="1D3A409B" w:rsidR="00E27475" w:rsidRPr="00DC1CA8" w:rsidRDefault="00E27475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</w:t>
      </w:r>
      <w:r w:rsidR="00745AC4" w:rsidRPr="00DC1CA8">
        <w:rPr>
          <w:rFonts w:ascii="Arial Narrow" w:hAnsi="Arial Narrow"/>
          <w:sz w:val="16"/>
          <w:szCs w:val="16"/>
        </w:rPr>
        <w:t>Развитие истории «башкирского дела» в СМИ</w:t>
      </w:r>
      <w:r w:rsidR="00593D58" w:rsidRPr="00DC1CA8">
        <w:rPr>
          <w:rFonts w:ascii="Arial Narrow" w:hAnsi="Arial Narrow"/>
          <w:sz w:val="16"/>
          <w:szCs w:val="16"/>
        </w:rPr>
        <w:t xml:space="preserve"> </w:t>
      </w:r>
      <w:hyperlink r:id="rId1" w:history="1">
        <w:r w:rsidR="0067275C" w:rsidRPr="00DC1CA8">
          <w:rPr>
            <w:rStyle w:val="a4"/>
            <w:rFonts w:ascii="Arial Narrow" w:hAnsi="Arial Narrow"/>
            <w:sz w:val="16"/>
            <w:szCs w:val="16"/>
          </w:rPr>
          <w:t>https://goo.gl/mS8Xdb</w:t>
        </w:r>
      </w:hyperlink>
      <w:r w:rsidR="0067275C"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2">
    <w:p w14:paraId="36E76787" w14:textId="77777777" w:rsidR="006401FE" w:rsidRPr="00DC1CA8" w:rsidRDefault="006401FE" w:rsidP="006401FE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Презентация с заседания «Инфраструктурного клуба» от 16.03.2017 «ФАС против платы концедента» </w:t>
      </w:r>
      <w:hyperlink r:id="rId2" w:history="1">
        <w:r w:rsidRPr="00DC1CA8">
          <w:rPr>
            <w:rStyle w:val="a4"/>
            <w:rFonts w:ascii="Arial Narrow" w:hAnsi="Arial Narrow" w:cs="Helvetica"/>
            <w:sz w:val="16"/>
            <w:szCs w:val="16"/>
          </w:rPr>
          <w:t>https://goo.gl/J5MB5Q</w:t>
        </w:r>
      </w:hyperlink>
      <w:r w:rsidRPr="00DC1CA8">
        <w:rPr>
          <w:rFonts w:ascii="Arial Narrow" w:hAnsi="Arial Narrow" w:cs="Helvetica"/>
          <w:color w:val="444444"/>
          <w:sz w:val="16"/>
          <w:szCs w:val="16"/>
        </w:rPr>
        <w:t xml:space="preserve">. </w:t>
      </w:r>
    </w:p>
  </w:footnote>
  <w:footnote w:id="3">
    <w:p w14:paraId="667B7444" w14:textId="77777777" w:rsidR="006401FE" w:rsidRPr="00DC1CA8" w:rsidRDefault="006401FE" w:rsidP="006401FE">
      <w:pPr>
        <w:pStyle w:val="ae"/>
        <w:rPr>
          <w:rFonts w:ascii="Arial Narrow" w:hAnsi="Arial Narrow"/>
          <w:sz w:val="16"/>
          <w:szCs w:val="16"/>
        </w:rPr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Сообщество рынка инфраструктурных проектов «Инфраструктурный клуб» (</w:t>
      </w:r>
      <w:r w:rsidRPr="00DC1CA8">
        <w:rPr>
          <w:rFonts w:ascii="Arial Narrow" w:hAnsi="Arial Narrow"/>
          <w:sz w:val="16"/>
          <w:szCs w:val="16"/>
          <w:lang w:val="en-US"/>
        </w:rPr>
        <w:t>InfraClub</w:t>
      </w:r>
      <w:r w:rsidRPr="00DC1CA8">
        <w:rPr>
          <w:rFonts w:ascii="Arial Narrow" w:hAnsi="Arial Narrow"/>
          <w:sz w:val="16"/>
          <w:szCs w:val="16"/>
        </w:rPr>
        <w:t xml:space="preserve">) </w:t>
      </w:r>
      <w:hyperlink r:id="rId3" w:history="1">
        <w:r w:rsidRPr="00DC1CA8">
          <w:rPr>
            <w:rStyle w:val="a4"/>
            <w:rFonts w:ascii="Arial Narrow" w:hAnsi="Arial Narrow"/>
            <w:sz w:val="16"/>
            <w:szCs w:val="16"/>
          </w:rPr>
          <w:t>http://brusser.ru/infraclub/</w:t>
        </w:r>
      </w:hyperlink>
      <w:r w:rsidRPr="00DC1CA8">
        <w:rPr>
          <w:rFonts w:ascii="Arial Narrow" w:hAnsi="Arial Narrow"/>
          <w:sz w:val="16"/>
          <w:szCs w:val="16"/>
        </w:rPr>
        <w:t xml:space="preserve"> </w:t>
      </w:r>
    </w:p>
  </w:footnote>
  <w:footnote w:id="4">
    <w:p w14:paraId="04789A9F" w14:textId="5E2E1A03" w:rsidR="0067275C" w:rsidRDefault="0067275C">
      <w:pPr>
        <w:pStyle w:val="ae"/>
      </w:pPr>
      <w:r w:rsidRPr="00DC1CA8">
        <w:rPr>
          <w:rStyle w:val="af0"/>
          <w:rFonts w:ascii="Arial Narrow" w:hAnsi="Arial Narrow"/>
          <w:sz w:val="16"/>
          <w:szCs w:val="16"/>
        </w:rPr>
        <w:footnoteRef/>
      </w:r>
      <w:r w:rsidRPr="00DC1CA8">
        <w:rPr>
          <w:rFonts w:ascii="Arial Narrow" w:hAnsi="Arial Narrow"/>
          <w:sz w:val="16"/>
          <w:szCs w:val="16"/>
        </w:rPr>
        <w:t xml:space="preserve"> История развития </w:t>
      </w:r>
      <w:r w:rsidR="00424991" w:rsidRPr="00DC1CA8">
        <w:rPr>
          <w:rFonts w:ascii="Arial Narrow" w:hAnsi="Arial Narrow"/>
          <w:sz w:val="16"/>
          <w:szCs w:val="16"/>
        </w:rPr>
        <w:t xml:space="preserve">ситуации вокруг «мусорной концессии» в СМИ </w:t>
      </w:r>
      <w:hyperlink r:id="rId4" w:history="1">
        <w:r w:rsidR="004863EF" w:rsidRPr="00DC1CA8">
          <w:rPr>
            <w:rStyle w:val="a4"/>
            <w:rFonts w:ascii="Arial Narrow" w:hAnsi="Arial Narrow"/>
            <w:sz w:val="16"/>
            <w:szCs w:val="16"/>
          </w:rPr>
          <w:t>https://goo.gl/21yHLS</w:t>
        </w:r>
      </w:hyperlink>
      <w:r w:rsidR="004863EF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00A5"/>
    <w:multiLevelType w:val="hybridMultilevel"/>
    <w:tmpl w:val="DF58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2802"/>
    <w:multiLevelType w:val="hybridMultilevel"/>
    <w:tmpl w:val="214E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1B7F"/>
    <w:multiLevelType w:val="hybridMultilevel"/>
    <w:tmpl w:val="3A66D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600C"/>
    <w:multiLevelType w:val="hybridMultilevel"/>
    <w:tmpl w:val="4E94D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1842"/>
    <w:multiLevelType w:val="multilevel"/>
    <w:tmpl w:val="A1DCF0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9B3CC2"/>
    <w:multiLevelType w:val="hybridMultilevel"/>
    <w:tmpl w:val="4672DC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E60F0"/>
    <w:multiLevelType w:val="hybridMultilevel"/>
    <w:tmpl w:val="21447A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5C7B94"/>
    <w:multiLevelType w:val="hybridMultilevel"/>
    <w:tmpl w:val="85E62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E6C7B"/>
    <w:multiLevelType w:val="hybridMultilevel"/>
    <w:tmpl w:val="E0828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A4C34"/>
    <w:multiLevelType w:val="hybridMultilevel"/>
    <w:tmpl w:val="32566C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65441C"/>
    <w:multiLevelType w:val="multilevel"/>
    <w:tmpl w:val="4BC066C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E328FD"/>
    <w:multiLevelType w:val="hybridMultilevel"/>
    <w:tmpl w:val="4CD27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225C"/>
    <w:multiLevelType w:val="hybridMultilevel"/>
    <w:tmpl w:val="8BA2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C7885"/>
    <w:multiLevelType w:val="hybridMultilevel"/>
    <w:tmpl w:val="B23E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37473"/>
    <w:multiLevelType w:val="hybridMultilevel"/>
    <w:tmpl w:val="743ED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6140C"/>
    <w:multiLevelType w:val="hybridMultilevel"/>
    <w:tmpl w:val="D64A8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5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CE"/>
    <w:rsid w:val="000004AC"/>
    <w:rsid w:val="00001F51"/>
    <w:rsid w:val="0000515D"/>
    <w:rsid w:val="00007AED"/>
    <w:rsid w:val="00011620"/>
    <w:rsid w:val="00013CB6"/>
    <w:rsid w:val="00020C96"/>
    <w:rsid w:val="000219BF"/>
    <w:rsid w:val="000224C1"/>
    <w:rsid w:val="000303FB"/>
    <w:rsid w:val="000458BF"/>
    <w:rsid w:val="00050D50"/>
    <w:rsid w:val="000516AD"/>
    <w:rsid w:val="000605B5"/>
    <w:rsid w:val="00060DDC"/>
    <w:rsid w:val="000766B3"/>
    <w:rsid w:val="00092E77"/>
    <w:rsid w:val="000933AC"/>
    <w:rsid w:val="0009396F"/>
    <w:rsid w:val="000A135C"/>
    <w:rsid w:val="000B0458"/>
    <w:rsid w:val="000B0527"/>
    <w:rsid w:val="000B38FC"/>
    <w:rsid w:val="000B4932"/>
    <w:rsid w:val="000B78E3"/>
    <w:rsid w:val="000C258D"/>
    <w:rsid w:val="000C57FB"/>
    <w:rsid w:val="000E16CB"/>
    <w:rsid w:val="000E19EC"/>
    <w:rsid w:val="000F1BCA"/>
    <w:rsid w:val="000F7A10"/>
    <w:rsid w:val="001004C0"/>
    <w:rsid w:val="00103BA0"/>
    <w:rsid w:val="00106799"/>
    <w:rsid w:val="00112054"/>
    <w:rsid w:val="001228F0"/>
    <w:rsid w:val="00143D24"/>
    <w:rsid w:val="00144A8D"/>
    <w:rsid w:val="0014579D"/>
    <w:rsid w:val="00150692"/>
    <w:rsid w:val="00156386"/>
    <w:rsid w:val="001565FC"/>
    <w:rsid w:val="00174841"/>
    <w:rsid w:val="0018114D"/>
    <w:rsid w:val="001813B2"/>
    <w:rsid w:val="00192209"/>
    <w:rsid w:val="001922CB"/>
    <w:rsid w:val="001953DF"/>
    <w:rsid w:val="001A178D"/>
    <w:rsid w:val="001A1EBE"/>
    <w:rsid w:val="001A3364"/>
    <w:rsid w:val="001A4B10"/>
    <w:rsid w:val="001A7EC2"/>
    <w:rsid w:val="001B48AD"/>
    <w:rsid w:val="001B6FA4"/>
    <w:rsid w:val="001B78B3"/>
    <w:rsid w:val="001C1B7A"/>
    <w:rsid w:val="001C31AA"/>
    <w:rsid w:val="001C53B8"/>
    <w:rsid w:val="001D37B2"/>
    <w:rsid w:val="001D466F"/>
    <w:rsid w:val="001D4E00"/>
    <w:rsid w:val="001D4E69"/>
    <w:rsid w:val="001E3760"/>
    <w:rsid w:val="001F44ED"/>
    <w:rsid w:val="001F69A4"/>
    <w:rsid w:val="002074BF"/>
    <w:rsid w:val="00223C9D"/>
    <w:rsid w:val="00230C60"/>
    <w:rsid w:val="00241CF8"/>
    <w:rsid w:val="00250B82"/>
    <w:rsid w:val="002527C8"/>
    <w:rsid w:val="00252BD0"/>
    <w:rsid w:val="00263ACF"/>
    <w:rsid w:val="00274F4B"/>
    <w:rsid w:val="00275D29"/>
    <w:rsid w:val="0028538C"/>
    <w:rsid w:val="00292362"/>
    <w:rsid w:val="002B00B9"/>
    <w:rsid w:val="002C2B4F"/>
    <w:rsid w:val="002C3A8B"/>
    <w:rsid w:val="002C4BFC"/>
    <w:rsid w:val="002C4D0F"/>
    <w:rsid w:val="002E772C"/>
    <w:rsid w:val="00312203"/>
    <w:rsid w:val="00315272"/>
    <w:rsid w:val="00315FA5"/>
    <w:rsid w:val="0031725F"/>
    <w:rsid w:val="00327D9F"/>
    <w:rsid w:val="003338B0"/>
    <w:rsid w:val="003467F0"/>
    <w:rsid w:val="003554ED"/>
    <w:rsid w:val="003600B9"/>
    <w:rsid w:val="0037096A"/>
    <w:rsid w:val="00370A23"/>
    <w:rsid w:val="00372575"/>
    <w:rsid w:val="00380F92"/>
    <w:rsid w:val="00382329"/>
    <w:rsid w:val="00383983"/>
    <w:rsid w:val="00384115"/>
    <w:rsid w:val="00385144"/>
    <w:rsid w:val="003906CE"/>
    <w:rsid w:val="00391F59"/>
    <w:rsid w:val="00396617"/>
    <w:rsid w:val="00397975"/>
    <w:rsid w:val="00397CBD"/>
    <w:rsid w:val="003A42EF"/>
    <w:rsid w:val="003C1354"/>
    <w:rsid w:val="003C2D8E"/>
    <w:rsid w:val="003C2E65"/>
    <w:rsid w:val="003C71EF"/>
    <w:rsid w:val="003D4405"/>
    <w:rsid w:val="003E1BEA"/>
    <w:rsid w:val="003F155D"/>
    <w:rsid w:val="0040454E"/>
    <w:rsid w:val="004204EA"/>
    <w:rsid w:val="00424991"/>
    <w:rsid w:val="004309BB"/>
    <w:rsid w:val="00442D51"/>
    <w:rsid w:val="00454BE7"/>
    <w:rsid w:val="00457E91"/>
    <w:rsid w:val="00466BA9"/>
    <w:rsid w:val="004863EF"/>
    <w:rsid w:val="00490051"/>
    <w:rsid w:val="004911C8"/>
    <w:rsid w:val="0049226B"/>
    <w:rsid w:val="004D10A4"/>
    <w:rsid w:val="004D29B8"/>
    <w:rsid w:val="004D3474"/>
    <w:rsid w:val="004D5149"/>
    <w:rsid w:val="004D63A5"/>
    <w:rsid w:val="00504E0C"/>
    <w:rsid w:val="00510229"/>
    <w:rsid w:val="0051328C"/>
    <w:rsid w:val="00514850"/>
    <w:rsid w:val="0051687C"/>
    <w:rsid w:val="0053059A"/>
    <w:rsid w:val="00537886"/>
    <w:rsid w:val="00542BEF"/>
    <w:rsid w:val="0054316E"/>
    <w:rsid w:val="0055143F"/>
    <w:rsid w:val="0055594A"/>
    <w:rsid w:val="005678E5"/>
    <w:rsid w:val="00574D35"/>
    <w:rsid w:val="00574E54"/>
    <w:rsid w:val="00576A8E"/>
    <w:rsid w:val="0058578E"/>
    <w:rsid w:val="005879AF"/>
    <w:rsid w:val="00593D58"/>
    <w:rsid w:val="00595E60"/>
    <w:rsid w:val="005A2B60"/>
    <w:rsid w:val="005A499F"/>
    <w:rsid w:val="005A5EE0"/>
    <w:rsid w:val="005B32BB"/>
    <w:rsid w:val="005B4A09"/>
    <w:rsid w:val="005D2068"/>
    <w:rsid w:val="005D398D"/>
    <w:rsid w:val="005E42BA"/>
    <w:rsid w:val="005E5326"/>
    <w:rsid w:val="005E60E5"/>
    <w:rsid w:val="00600B65"/>
    <w:rsid w:val="00602CF0"/>
    <w:rsid w:val="00605498"/>
    <w:rsid w:val="00633179"/>
    <w:rsid w:val="006401FE"/>
    <w:rsid w:val="00641FB3"/>
    <w:rsid w:val="00654940"/>
    <w:rsid w:val="00655E19"/>
    <w:rsid w:val="00657614"/>
    <w:rsid w:val="0067275C"/>
    <w:rsid w:val="00677283"/>
    <w:rsid w:val="00682DEB"/>
    <w:rsid w:val="00695744"/>
    <w:rsid w:val="006977C1"/>
    <w:rsid w:val="006B0A57"/>
    <w:rsid w:val="006B0F65"/>
    <w:rsid w:val="006B56C0"/>
    <w:rsid w:val="006B79C2"/>
    <w:rsid w:val="006C2EAD"/>
    <w:rsid w:val="006C57DD"/>
    <w:rsid w:val="006C636A"/>
    <w:rsid w:val="006E3B4C"/>
    <w:rsid w:val="006F2FAA"/>
    <w:rsid w:val="006F3A33"/>
    <w:rsid w:val="006F5DE4"/>
    <w:rsid w:val="00703671"/>
    <w:rsid w:val="00704AA9"/>
    <w:rsid w:val="007166A8"/>
    <w:rsid w:val="00721DC4"/>
    <w:rsid w:val="00734341"/>
    <w:rsid w:val="007407EF"/>
    <w:rsid w:val="00745AC4"/>
    <w:rsid w:val="00747CBD"/>
    <w:rsid w:val="00766639"/>
    <w:rsid w:val="007710B5"/>
    <w:rsid w:val="00773FE4"/>
    <w:rsid w:val="00780AD2"/>
    <w:rsid w:val="007838A7"/>
    <w:rsid w:val="00790CFB"/>
    <w:rsid w:val="00794092"/>
    <w:rsid w:val="007A6340"/>
    <w:rsid w:val="007B473D"/>
    <w:rsid w:val="007B4E84"/>
    <w:rsid w:val="007B6ABA"/>
    <w:rsid w:val="007C0377"/>
    <w:rsid w:val="007C099E"/>
    <w:rsid w:val="007E1F01"/>
    <w:rsid w:val="007E4223"/>
    <w:rsid w:val="007F4F53"/>
    <w:rsid w:val="007F50B2"/>
    <w:rsid w:val="007F55A7"/>
    <w:rsid w:val="0080078A"/>
    <w:rsid w:val="008068A0"/>
    <w:rsid w:val="008274C3"/>
    <w:rsid w:val="00831A8C"/>
    <w:rsid w:val="00836602"/>
    <w:rsid w:val="008375F7"/>
    <w:rsid w:val="00842614"/>
    <w:rsid w:val="00853B7F"/>
    <w:rsid w:val="00887D1C"/>
    <w:rsid w:val="00893F09"/>
    <w:rsid w:val="00895627"/>
    <w:rsid w:val="008A1AAE"/>
    <w:rsid w:val="008A5674"/>
    <w:rsid w:val="008A77B3"/>
    <w:rsid w:val="008B5F06"/>
    <w:rsid w:val="008C32A0"/>
    <w:rsid w:val="008C3348"/>
    <w:rsid w:val="008C34B3"/>
    <w:rsid w:val="008D7E81"/>
    <w:rsid w:val="008E0102"/>
    <w:rsid w:val="008E2CC5"/>
    <w:rsid w:val="008E52B8"/>
    <w:rsid w:val="008F04B8"/>
    <w:rsid w:val="008F28C7"/>
    <w:rsid w:val="008F7DC0"/>
    <w:rsid w:val="009050D1"/>
    <w:rsid w:val="00910E19"/>
    <w:rsid w:val="00911DCB"/>
    <w:rsid w:val="00913354"/>
    <w:rsid w:val="009136CA"/>
    <w:rsid w:val="00914664"/>
    <w:rsid w:val="00914917"/>
    <w:rsid w:val="00921922"/>
    <w:rsid w:val="00922561"/>
    <w:rsid w:val="00931D87"/>
    <w:rsid w:val="00934B64"/>
    <w:rsid w:val="00936ECD"/>
    <w:rsid w:val="00940E1F"/>
    <w:rsid w:val="00946757"/>
    <w:rsid w:val="00950BAF"/>
    <w:rsid w:val="00951A3F"/>
    <w:rsid w:val="009533CB"/>
    <w:rsid w:val="0096258B"/>
    <w:rsid w:val="00963DFA"/>
    <w:rsid w:val="009732E3"/>
    <w:rsid w:val="00982CE7"/>
    <w:rsid w:val="009A2041"/>
    <w:rsid w:val="009A3066"/>
    <w:rsid w:val="009A7812"/>
    <w:rsid w:val="009B1220"/>
    <w:rsid w:val="009B3F71"/>
    <w:rsid w:val="009C1FC4"/>
    <w:rsid w:val="009D3525"/>
    <w:rsid w:val="009F4CFF"/>
    <w:rsid w:val="00A02360"/>
    <w:rsid w:val="00A062C1"/>
    <w:rsid w:val="00A23686"/>
    <w:rsid w:val="00A32561"/>
    <w:rsid w:val="00A3434E"/>
    <w:rsid w:val="00A37CB0"/>
    <w:rsid w:val="00A429DC"/>
    <w:rsid w:val="00A459AD"/>
    <w:rsid w:val="00A51B3D"/>
    <w:rsid w:val="00A64A02"/>
    <w:rsid w:val="00A64C98"/>
    <w:rsid w:val="00A74675"/>
    <w:rsid w:val="00A93338"/>
    <w:rsid w:val="00A97941"/>
    <w:rsid w:val="00AA3604"/>
    <w:rsid w:val="00AA3A41"/>
    <w:rsid w:val="00AA7624"/>
    <w:rsid w:val="00AB21E3"/>
    <w:rsid w:val="00AC1C0A"/>
    <w:rsid w:val="00AD0EEA"/>
    <w:rsid w:val="00AD12F3"/>
    <w:rsid w:val="00B077C5"/>
    <w:rsid w:val="00B36E99"/>
    <w:rsid w:val="00B3785F"/>
    <w:rsid w:val="00B43442"/>
    <w:rsid w:val="00B52F82"/>
    <w:rsid w:val="00B55063"/>
    <w:rsid w:val="00B66136"/>
    <w:rsid w:val="00B70C8B"/>
    <w:rsid w:val="00B737AD"/>
    <w:rsid w:val="00B77A22"/>
    <w:rsid w:val="00B806E3"/>
    <w:rsid w:val="00B82A36"/>
    <w:rsid w:val="00B92AD1"/>
    <w:rsid w:val="00B971C0"/>
    <w:rsid w:val="00BA0849"/>
    <w:rsid w:val="00BB0404"/>
    <w:rsid w:val="00BC01EA"/>
    <w:rsid w:val="00BC2AE1"/>
    <w:rsid w:val="00BC2DE4"/>
    <w:rsid w:val="00BD3789"/>
    <w:rsid w:val="00BD5962"/>
    <w:rsid w:val="00BE4AEA"/>
    <w:rsid w:val="00BF013C"/>
    <w:rsid w:val="00BF495C"/>
    <w:rsid w:val="00C11155"/>
    <w:rsid w:val="00C11AD1"/>
    <w:rsid w:val="00C26E33"/>
    <w:rsid w:val="00C3349B"/>
    <w:rsid w:val="00C40519"/>
    <w:rsid w:val="00C431A5"/>
    <w:rsid w:val="00C46BFA"/>
    <w:rsid w:val="00C52BC4"/>
    <w:rsid w:val="00C73D1A"/>
    <w:rsid w:val="00C75972"/>
    <w:rsid w:val="00C81A60"/>
    <w:rsid w:val="00C81CE2"/>
    <w:rsid w:val="00CA7A71"/>
    <w:rsid w:val="00CB2304"/>
    <w:rsid w:val="00CC4DA9"/>
    <w:rsid w:val="00CD5102"/>
    <w:rsid w:val="00CD75A8"/>
    <w:rsid w:val="00CE5FD0"/>
    <w:rsid w:val="00CF2D95"/>
    <w:rsid w:val="00CF34F0"/>
    <w:rsid w:val="00D04210"/>
    <w:rsid w:val="00D0608C"/>
    <w:rsid w:val="00D1002F"/>
    <w:rsid w:val="00D208ED"/>
    <w:rsid w:val="00D22628"/>
    <w:rsid w:val="00D25B70"/>
    <w:rsid w:val="00D33F08"/>
    <w:rsid w:val="00D42EEA"/>
    <w:rsid w:val="00D4374A"/>
    <w:rsid w:val="00D43A21"/>
    <w:rsid w:val="00D51CFF"/>
    <w:rsid w:val="00D52936"/>
    <w:rsid w:val="00D624C3"/>
    <w:rsid w:val="00D71A51"/>
    <w:rsid w:val="00D73441"/>
    <w:rsid w:val="00D7545A"/>
    <w:rsid w:val="00D75E74"/>
    <w:rsid w:val="00DB5FC2"/>
    <w:rsid w:val="00DC06A4"/>
    <w:rsid w:val="00DC1CA8"/>
    <w:rsid w:val="00DD149B"/>
    <w:rsid w:val="00DE5468"/>
    <w:rsid w:val="00E01C19"/>
    <w:rsid w:val="00E06DCA"/>
    <w:rsid w:val="00E20D44"/>
    <w:rsid w:val="00E238EA"/>
    <w:rsid w:val="00E27475"/>
    <w:rsid w:val="00E4150B"/>
    <w:rsid w:val="00E44A91"/>
    <w:rsid w:val="00E51034"/>
    <w:rsid w:val="00E61DF2"/>
    <w:rsid w:val="00E63A68"/>
    <w:rsid w:val="00E64C2D"/>
    <w:rsid w:val="00E7294B"/>
    <w:rsid w:val="00E76A88"/>
    <w:rsid w:val="00E77C2B"/>
    <w:rsid w:val="00E81F90"/>
    <w:rsid w:val="00E82541"/>
    <w:rsid w:val="00E84F08"/>
    <w:rsid w:val="00EA3635"/>
    <w:rsid w:val="00EB3B4E"/>
    <w:rsid w:val="00EF04FA"/>
    <w:rsid w:val="00EF0863"/>
    <w:rsid w:val="00F04846"/>
    <w:rsid w:val="00F10C73"/>
    <w:rsid w:val="00F11284"/>
    <w:rsid w:val="00F13DAC"/>
    <w:rsid w:val="00F16BE0"/>
    <w:rsid w:val="00F16C0D"/>
    <w:rsid w:val="00F22ED5"/>
    <w:rsid w:val="00F2519D"/>
    <w:rsid w:val="00F26642"/>
    <w:rsid w:val="00F270FB"/>
    <w:rsid w:val="00F33752"/>
    <w:rsid w:val="00F411C6"/>
    <w:rsid w:val="00F47ADA"/>
    <w:rsid w:val="00F50FAB"/>
    <w:rsid w:val="00F56D06"/>
    <w:rsid w:val="00F60723"/>
    <w:rsid w:val="00F62939"/>
    <w:rsid w:val="00F667B0"/>
    <w:rsid w:val="00F71745"/>
    <w:rsid w:val="00F809D3"/>
    <w:rsid w:val="00F81091"/>
    <w:rsid w:val="00F813D5"/>
    <w:rsid w:val="00F87E3A"/>
    <w:rsid w:val="00F9003F"/>
    <w:rsid w:val="00F91FD1"/>
    <w:rsid w:val="00FB30FA"/>
    <w:rsid w:val="00FB5D7D"/>
    <w:rsid w:val="00FC0E84"/>
    <w:rsid w:val="00FC0FF3"/>
    <w:rsid w:val="00FC31DA"/>
    <w:rsid w:val="00FC642D"/>
    <w:rsid w:val="00FD32EA"/>
    <w:rsid w:val="00FE2FB5"/>
    <w:rsid w:val="00FE3920"/>
    <w:rsid w:val="00FE4893"/>
    <w:rsid w:val="00FE7CBA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0AFB"/>
  <w15:chartTrackingRefBased/>
  <w15:docId w15:val="{A7A6E3E6-B6B2-4458-9EA7-E618A76A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0E8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4210"/>
    <w:rPr>
      <w:color w:val="808080"/>
      <w:shd w:val="clear" w:color="auto" w:fill="E6E6E6"/>
    </w:rPr>
  </w:style>
  <w:style w:type="character" w:styleId="a6">
    <w:name w:val="annotation reference"/>
    <w:basedOn w:val="a0"/>
    <w:uiPriority w:val="99"/>
    <w:semiHidden/>
    <w:unhideWhenUsed/>
    <w:rsid w:val="00982CE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2CE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2CE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2CE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2CE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82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82CE7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F10C73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unhideWhenUsed/>
    <w:rsid w:val="00B52F8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B52F8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52F82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64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6401F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420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nfra.ru/frontend/images/PDF/nakdi-annual-report-201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brusser.ru/infraclub/" TargetMode="External"/><Relationship Id="rId2" Type="http://schemas.openxmlformats.org/officeDocument/2006/relationships/hyperlink" Target="https://goo.gl/J5MB5Q" TargetMode="External"/><Relationship Id="rId1" Type="http://schemas.openxmlformats.org/officeDocument/2006/relationships/hyperlink" Target="https://goo.gl/mS8Xdb" TargetMode="External"/><Relationship Id="rId4" Type="http://schemas.openxmlformats.org/officeDocument/2006/relationships/hyperlink" Target="https://goo.gl/21yH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B18BE-E664-4ECC-9EFC-5CCC4785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Щеглов</dc:creator>
  <cp:keywords/>
  <dc:description/>
  <cp:lastModifiedBy>Артур Щеглов</cp:lastModifiedBy>
  <cp:revision>33</cp:revision>
  <dcterms:created xsi:type="dcterms:W3CDTF">2018-02-23T17:19:00Z</dcterms:created>
  <dcterms:modified xsi:type="dcterms:W3CDTF">2018-05-04T14:12:00Z</dcterms:modified>
</cp:coreProperties>
</file>