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color w:val="1F3864"/>
          <w:sz w:val="36"/>
          <w:szCs w:val="36"/>
        </w:rPr>
        <w:t xml:space="preserve">TALENTO TECH 2024 — MinTIC</w:t>
      </w:r>
    </w:p>
    <w:p>
      <w:pPr>
        <w:spacing w:after="60" w:before="0"/>
        <w:jc w:val="center"/>
      </w:pPr>
      <w:r>
        <w:rPr>
          <w:rFonts w:ascii="Arial" w:cs="Arial" w:eastAsia="Arial" w:hAnsi="Arial"/>
          <w:b/>
          <w:bCs/>
          <w:color w:val="7B5E2A"/>
          <w:sz w:val="28"/>
          <w:szCs w:val="28"/>
        </w:rPr>
        <w:t xml:space="preserve">FORMATO DE PRESENTACIÓN</w:t>
      </w:r>
    </w:p>
    <w:p>
      <w:pPr>
        <w:spacing w:after="300" w:before="0"/>
        <w:jc w:val="center"/>
      </w:pPr>
      <w:r>
        <w:rPr>
          <w:rFonts w:ascii="Arial" w:cs="Arial" w:eastAsia="Arial" w:hAnsi="Arial"/>
          <w:b/>
          <w:bCs/>
          <w:color w:val="7B5E2A"/>
          <w:sz w:val="28"/>
          <w:szCs w:val="28"/>
        </w:rPr>
        <w:t xml:space="preserve">"PLAN DE PROYECTO TI"</w:t>
      </w:r>
    </w:p>
    <w:p>
      <w:pPr>
        <w:spacing w:after="80" w:before="100" w:line="276"/>
        <w:jc w:val="both"/>
      </w:pPr>
      <w:r>
        <w:rPr>
          <w:rFonts w:ascii="Arial" w:cs="Arial" w:eastAsia="Arial" w:hAnsi="Arial"/>
          <w:b/>
          <w:bCs/>
          <w:sz w:val="20"/>
          <w:szCs w:val="20"/>
        </w:rPr>
        <w:t xml:space="preserve">Contexto específico de aplicación del proyecto </w:t>
      </w:r>
      <w:r>
        <w:rPr>
          <w:rFonts w:ascii="Arial" w:cs="Arial" w:eastAsia="Arial" w:hAnsi="Arial"/>
          <w:sz w:val="20"/>
          <w:szCs w:val="20"/>
        </w:rPr>
        <w:t xml:space="preserve">(Marque con una 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170"/>
        <w:gridCol w:w="1170"/>
        <w:gridCol w:w="1170"/>
        <w:gridCol w:w="1170"/>
        <w:gridCol w:w="1170"/>
      </w:tblGrid>
      <w:tr>
        <w:tc>
          <w:tcPr>
            <w:tcW w:type="dxa" w:w="1170"/>
            <w:tcBorders>
              <w:top w:val="single" w:color="B0B0B0" w:sz="4"/>
              <w:left w:val="single" w:color="B0B0B0" w:sz="4"/>
              <w:bottom w:val="single" w:color="B0B0B0" w:sz="4"/>
              <w:right w:val="single" w:color="B0B0B0" w:sz="4"/>
            </w:tcBorders>
            <w:shd w:fill="1F3864" w:val="clear"/>
            <w:tcMar>
              <w:top w:type="dxa" w:w="60"/>
              <w:left w:type="dxa" w:w="100"/>
              <w:bottom w:type="dxa" w:w="60"/>
              <w:right w:type="dxa" w:w="100"/>
            </w:tcMar>
            <w:vAlign w:val="center"/>
          </w:tcPr>
          <w:p>
            <w:pPr>
              <w:jc w:val="center"/>
            </w:pPr>
            <w:r>
              <w:rPr>
                <w:rFonts w:ascii="Arial" w:cs="Arial" w:eastAsia="Arial" w:hAnsi="Arial"/>
                <w:b/>
                <w:bCs/>
                <w:i w:val="false"/>
                <w:iCs w:val="false"/>
                <w:color w:val="FFFFFF"/>
                <w:sz w:val="16"/>
                <w:szCs w:val="16"/>
              </w:rPr>
              <w:t xml:space="preserve">AGRO</w:t>
            </w:r>
          </w:p>
        </w:tc>
        <w:tc>
          <w:tcPr>
            <w:tcW w:type="dxa" w:w="1170"/>
            <w:tcBorders>
              <w:top w:val="single" w:color="B0B0B0" w:sz="4"/>
              <w:left w:val="single" w:color="B0B0B0" w:sz="4"/>
              <w:bottom w:val="single" w:color="B0B0B0" w:sz="4"/>
              <w:right w:val="single" w:color="B0B0B0" w:sz="4"/>
            </w:tcBorders>
            <w:shd w:fill="1F3864" w:val="clear"/>
            <w:tcMar>
              <w:top w:type="dxa" w:w="60"/>
              <w:left w:type="dxa" w:w="100"/>
              <w:bottom w:type="dxa" w:w="60"/>
              <w:right w:type="dxa" w:w="100"/>
            </w:tcMar>
            <w:vAlign w:val="center"/>
          </w:tcPr>
          <w:p>
            <w:pPr>
              <w:jc w:val="center"/>
            </w:pPr>
            <w:r>
              <w:rPr>
                <w:rFonts w:ascii="Arial" w:cs="Arial" w:eastAsia="Arial" w:hAnsi="Arial"/>
                <w:b/>
                <w:bCs/>
                <w:i w:val="false"/>
                <w:iCs w:val="false"/>
                <w:color w:val="FFFFFF"/>
                <w:sz w:val="16"/>
                <w:szCs w:val="16"/>
              </w:rPr>
              <w:t xml:space="preserve">EDUCACIÓN</w:t>
            </w:r>
          </w:p>
        </w:tc>
        <w:tc>
          <w:tcPr>
            <w:tcW w:type="dxa" w:w="1170"/>
            <w:tcBorders>
              <w:top w:val="single" w:color="B0B0B0" w:sz="4"/>
              <w:left w:val="single" w:color="B0B0B0" w:sz="4"/>
              <w:bottom w:val="single" w:color="B0B0B0" w:sz="4"/>
              <w:right w:val="single" w:color="B0B0B0" w:sz="4"/>
            </w:tcBorders>
            <w:shd w:fill="1F3864" w:val="clear"/>
            <w:tcMar>
              <w:top w:type="dxa" w:w="60"/>
              <w:left w:type="dxa" w:w="100"/>
              <w:bottom w:type="dxa" w:w="60"/>
              <w:right w:type="dxa" w:w="100"/>
            </w:tcMar>
            <w:vAlign w:val="center"/>
          </w:tcPr>
          <w:p>
            <w:pPr>
              <w:jc w:val="center"/>
            </w:pPr>
            <w:r>
              <w:rPr>
                <w:rFonts w:ascii="Arial" w:cs="Arial" w:eastAsia="Arial" w:hAnsi="Arial"/>
                <w:b/>
                <w:bCs/>
                <w:i w:val="false"/>
                <w:iCs w:val="false"/>
                <w:color w:val="FFFFFF"/>
                <w:sz w:val="16"/>
                <w:szCs w:val="16"/>
              </w:rPr>
              <w:t xml:space="preserve">TURISMO</w:t>
            </w:r>
          </w:p>
        </w:tc>
        <w:tc>
          <w:tcPr>
            <w:tcW w:type="dxa" w:w="1170"/>
            <w:tcBorders>
              <w:top w:val="single" w:color="B0B0B0" w:sz="4"/>
              <w:left w:val="single" w:color="B0B0B0" w:sz="4"/>
              <w:bottom w:val="single" w:color="B0B0B0" w:sz="4"/>
              <w:right w:val="single" w:color="B0B0B0" w:sz="4"/>
            </w:tcBorders>
            <w:shd w:fill="1F3864" w:val="clear"/>
            <w:tcMar>
              <w:top w:type="dxa" w:w="60"/>
              <w:left w:type="dxa" w:w="100"/>
              <w:bottom w:type="dxa" w:w="60"/>
              <w:right w:type="dxa" w:w="100"/>
            </w:tcMar>
            <w:vAlign w:val="center"/>
          </w:tcPr>
          <w:p>
            <w:pPr>
              <w:jc w:val="center"/>
            </w:pPr>
            <w:r>
              <w:rPr>
                <w:rFonts w:ascii="Arial" w:cs="Arial" w:eastAsia="Arial" w:hAnsi="Arial"/>
                <w:b/>
                <w:bCs/>
                <w:i w:val="false"/>
                <w:iCs w:val="false"/>
                <w:color w:val="FFFFFF"/>
                <w:sz w:val="16"/>
                <w:szCs w:val="16"/>
              </w:rPr>
              <w:t xml:space="preserve">GOBIERNO</w:t>
            </w:r>
          </w:p>
        </w:tc>
        <w:tc>
          <w:tcPr>
            <w:tcW w:type="dxa" w:w="1170"/>
            <w:tcBorders>
              <w:top w:val="single" w:color="B0B0B0" w:sz="4"/>
              <w:left w:val="single" w:color="B0B0B0" w:sz="4"/>
              <w:bottom w:val="single" w:color="B0B0B0" w:sz="4"/>
              <w:right w:val="single" w:color="B0B0B0" w:sz="4"/>
            </w:tcBorders>
            <w:shd w:fill="1F3864" w:val="clear"/>
            <w:tcMar>
              <w:top w:type="dxa" w:w="60"/>
              <w:left w:type="dxa" w:w="100"/>
              <w:bottom w:type="dxa" w:w="60"/>
              <w:right w:type="dxa" w:w="100"/>
            </w:tcMar>
            <w:vAlign w:val="center"/>
          </w:tcPr>
          <w:p>
            <w:pPr>
              <w:jc w:val="center"/>
            </w:pPr>
            <w:r>
              <w:rPr>
                <w:rFonts w:ascii="Arial" w:cs="Arial" w:eastAsia="Arial" w:hAnsi="Arial"/>
                <w:b/>
                <w:bCs/>
                <w:i w:val="false"/>
                <w:iCs w:val="false"/>
                <w:color w:val="FFFFFF"/>
                <w:sz w:val="16"/>
                <w:szCs w:val="16"/>
              </w:rPr>
              <w:t xml:space="preserve">FINANZAS</w:t>
            </w:r>
          </w:p>
        </w:tc>
        <w:tc>
          <w:tcPr>
            <w:tcW w:type="dxa" w:w="1170"/>
            <w:tcBorders>
              <w:top w:val="single" w:color="B0B0B0" w:sz="4"/>
              <w:left w:val="single" w:color="B0B0B0" w:sz="4"/>
              <w:bottom w:val="single" w:color="B0B0B0" w:sz="4"/>
              <w:right w:val="single" w:color="B0B0B0" w:sz="4"/>
            </w:tcBorders>
            <w:shd w:fill="1F3864" w:val="clear"/>
            <w:tcMar>
              <w:top w:type="dxa" w:w="60"/>
              <w:left w:type="dxa" w:w="100"/>
              <w:bottom w:type="dxa" w:w="60"/>
              <w:right w:type="dxa" w:w="100"/>
            </w:tcMar>
            <w:vAlign w:val="center"/>
          </w:tcPr>
          <w:p>
            <w:pPr>
              <w:jc w:val="center"/>
            </w:pPr>
            <w:r>
              <w:rPr>
                <w:rFonts w:ascii="Arial" w:cs="Arial" w:eastAsia="Arial" w:hAnsi="Arial"/>
                <w:b/>
                <w:bCs/>
                <w:i w:val="false"/>
                <w:iCs w:val="false"/>
                <w:color w:val="FFFFFF"/>
                <w:sz w:val="16"/>
                <w:szCs w:val="16"/>
              </w:rPr>
              <w:t xml:space="preserve">MARKETING</w:t>
            </w:r>
          </w:p>
        </w:tc>
        <w:tc>
          <w:tcPr>
            <w:tcW w:type="dxa" w:w="1170"/>
            <w:tcBorders>
              <w:top w:val="single" w:color="B0B0B0" w:sz="4"/>
              <w:left w:val="single" w:color="B0B0B0" w:sz="4"/>
              <w:bottom w:val="single" w:color="B0B0B0" w:sz="4"/>
              <w:right w:val="single" w:color="B0B0B0" w:sz="4"/>
            </w:tcBorders>
            <w:shd w:fill="1F3864" w:val="clear"/>
            <w:tcMar>
              <w:top w:type="dxa" w:w="60"/>
              <w:left w:type="dxa" w:w="100"/>
              <w:bottom w:type="dxa" w:w="60"/>
              <w:right w:type="dxa" w:w="100"/>
            </w:tcMar>
            <w:vAlign w:val="center"/>
          </w:tcPr>
          <w:p>
            <w:pPr>
              <w:jc w:val="center"/>
            </w:pPr>
            <w:r>
              <w:rPr>
                <w:rFonts w:ascii="Arial" w:cs="Arial" w:eastAsia="Arial" w:hAnsi="Arial"/>
                <w:b/>
                <w:bCs/>
                <w:i w:val="false"/>
                <w:iCs w:val="false"/>
                <w:color w:val="FFFFFF"/>
                <w:sz w:val="16"/>
                <w:szCs w:val="16"/>
              </w:rPr>
              <w:t xml:space="preserve">SALUD</w:t>
            </w:r>
          </w:p>
        </w:tc>
        <w:tc>
          <w:tcPr>
            <w:tcW w:type="dxa" w:w="1170"/>
            <w:tcBorders>
              <w:top w:val="single" w:color="B0B0B0" w:sz="4"/>
              <w:left w:val="single" w:color="B0B0B0" w:sz="4"/>
              <w:bottom w:val="single" w:color="B0B0B0" w:sz="4"/>
              <w:right w:val="single" w:color="B0B0B0" w:sz="4"/>
            </w:tcBorders>
            <w:shd w:fill="1F3864" w:val="clear"/>
            <w:tcMar>
              <w:top w:type="dxa" w:w="60"/>
              <w:left w:type="dxa" w:w="100"/>
              <w:bottom w:type="dxa" w:w="60"/>
              <w:right w:type="dxa" w:w="100"/>
            </w:tcMar>
            <w:vAlign w:val="center"/>
          </w:tcPr>
          <w:p>
            <w:pPr>
              <w:jc w:val="center"/>
            </w:pPr>
            <w:r>
              <w:rPr>
                <w:rFonts w:ascii="Arial" w:cs="Arial" w:eastAsia="Arial" w:hAnsi="Arial"/>
                <w:b/>
                <w:bCs/>
                <w:i w:val="false"/>
                <w:iCs w:val="false"/>
                <w:color w:val="FFFFFF"/>
                <w:sz w:val="16"/>
                <w:szCs w:val="16"/>
              </w:rPr>
              <w:t xml:space="preserve">OTRO</w:t>
            </w:r>
          </w:p>
        </w:tc>
      </w:tr>
      <w:tr>
        <w:tc>
          <w:tcPr>
            <w:tcW w:type="dxa" w:w="117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1A1A1A"/>
                <w:sz w:val="18"/>
                <w:szCs w:val="18"/>
              </w:rPr>
              <w:t xml:space="preserve"/>
            </w:r>
          </w:p>
        </w:tc>
        <w:tc>
          <w:tcPr>
            <w:tcW w:type="dxa" w:w="117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1A1A1A"/>
                <w:sz w:val="18"/>
                <w:szCs w:val="18"/>
              </w:rPr>
              <w:t xml:space="preserve"/>
            </w:r>
          </w:p>
        </w:tc>
        <w:tc>
          <w:tcPr>
            <w:tcW w:type="dxa" w:w="117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1A1A1A"/>
                <w:sz w:val="18"/>
                <w:szCs w:val="18"/>
              </w:rPr>
              <w:t xml:space="preserve"/>
            </w:r>
          </w:p>
        </w:tc>
        <w:tc>
          <w:tcPr>
            <w:tcW w:type="dxa" w:w="117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1A1A1A"/>
                <w:sz w:val="18"/>
                <w:szCs w:val="18"/>
              </w:rPr>
              <w:t xml:space="preserve"/>
            </w:r>
          </w:p>
        </w:tc>
        <w:tc>
          <w:tcPr>
            <w:tcW w:type="dxa" w:w="117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1A1A1A"/>
                <w:sz w:val="18"/>
                <w:szCs w:val="18"/>
              </w:rPr>
              <w:t xml:space="preserve"/>
            </w:r>
          </w:p>
        </w:tc>
        <w:tc>
          <w:tcPr>
            <w:tcW w:type="dxa" w:w="117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pPr>
              <w:jc w:val="center"/>
            </w:pPr>
            <w:r>
              <w:rPr>
                <w:rFonts w:ascii="Arial" w:cs="Arial" w:eastAsia="Arial" w:hAnsi="Arial"/>
                <w:b/>
                <w:bCs/>
                <w:i w:val="false"/>
                <w:iCs w:val="false"/>
                <w:color w:val="1F3864"/>
                <w:sz w:val="18"/>
                <w:szCs w:val="18"/>
              </w:rPr>
              <w:t xml:space="preserve">X</w:t>
            </w:r>
          </w:p>
        </w:tc>
        <w:tc>
          <w:tcPr>
            <w:tcW w:type="dxa" w:w="117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1A1A1A"/>
                <w:sz w:val="18"/>
                <w:szCs w:val="18"/>
              </w:rPr>
              <w:t xml:space="preserve"/>
            </w:r>
          </w:p>
        </w:tc>
        <w:tc>
          <w:tcPr>
            <w:tcW w:type="dxa" w:w="117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1A1A1A"/>
                <w:sz w:val="18"/>
                <w:szCs w:val="18"/>
              </w:rPr>
              <w:t xml:space="preserve"/>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4240"/>
      </w:tblGrid>
      <w:tr>
        <w:tc>
          <w:tcPr>
            <w:tcW w:type="dxa" w:w="30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pPr>
              <w:jc w:val="left"/>
            </w:pPr>
            <w:r>
              <w:rPr>
                <w:rFonts w:ascii="Arial" w:cs="Arial" w:eastAsia="Arial" w:hAnsi="Arial"/>
                <w:b/>
                <w:bCs/>
                <w:i w:val="false"/>
                <w:iCs w:val="false"/>
                <w:color w:val="1A1A1A"/>
                <w:sz w:val="18"/>
                <w:szCs w:val="18"/>
              </w:rPr>
              <w:t xml:space="preserve">Cohorte #: 1</w:t>
            </w:r>
          </w:p>
        </w:tc>
        <w:tc>
          <w:tcPr>
            <w:tcW w:type="dxa" w:w="212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pPr>
              <w:jc w:val="left"/>
            </w:pPr>
            <w:r>
              <w:rPr>
                <w:rFonts w:ascii="Arial" w:cs="Arial" w:eastAsia="Arial" w:hAnsi="Arial"/>
                <w:b/>
                <w:bCs/>
                <w:i w:val="false"/>
                <w:iCs w:val="false"/>
                <w:color w:val="1A1A1A"/>
                <w:sz w:val="18"/>
                <w:szCs w:val="18"/>
              </w:rPr>
              <w:t xml:space="preserve">Año: 2026</w:t>
            </w:r>
          </w:p>
        </w:tc>
        <w:tc>
          <w:tcPr>
            <w:tcW w:type="dxa" w:w="424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pPr>
              <w:jc w:val="left"/>
            </w:pPr>
            <w:r>
              <w:rPr>
                <w:rFonts w:ascii="Arial" w:cs="Arial" w:eastAsia="Arial" w:hAnsi="Arial"/>
                <w:b/>
                <w:bCs/>
                <w:i w:val="false"/>
                <w:iCs w:val="false"/>
                <w:color w:val="1A1A1A"/>
                <w:sz w:val="18"/>
                <w:szCs w:val="18"/>
              </w:rPr>
              <w:t xml:space="preserve">Tutor: Edinson Andrés Arteaga López</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pPr>
              <w:jc w:val="left"/>
            </w:pPr>
            <w:r>
              <w:rPr>
                <w:rFonts w:ascii="Arial" w:cs="Arial" w:eastAsia="Arial" w:hAnsi="Arial"/>
                <w:b/>
                <w:bCs/>
                <w:i w:val="false"/>
                <w:iCs w:val="false"/>
                <w:color w:val="1A1A1A"/>
                <w:sz w:val="20"/>
                <w:szCs w:val="20"/>
              </w:rPr>
              <w:t xml:space="preserve">Nombre del Proyecto: Perfum Plus — Sistema de Gestión de Tareas y Desempeño para Equipos de Trabajo</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pPr>
              <w:jc w:val="left"/>
            </w:pPr>
            <w:r>
              <w:rPr>
                <w:rFonts w:ascii="Arial" w:cs="Arial" w:eastAsia="Arial" w:hAnsi="Arial"/>
                <w:b/>
                <w:bCs/>
                <w:i w:val="false"/>
                <w:iCs w:val="false"/>
                <w:color w:val="1A1A1A"/>
                <w:sz w:val="18"/>
                <w:szCs w:val="18"/>
              </w:rPr>
              <w:t xml:space="preserve">Departamento: Cauca</w:t>
            </w:r>
          </w:p>
        </w:tc>
        <w:tc>
          <w:tcPr>
            <w:tcW w:type="dxa" w:w="468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pPr>
              <w:jc w:val="left"/>
            </w:pPr>
            <w:r>
              <w:rPr>
                <w:rFonts w:ascii="Arial" w:cs="Arial" w:eastAsia="Arial" w:hAnsi="Arial"/>
                <w:b/>
                <w:bCs/>
                <w:i w:val="false"/>
                <w:iCs w:val="false"/>
                <w:color w:val="1A1A1A"/>
                <w:sz w:val="18"/>
                <w:szCs w:val="18"/>
              </w:rPr>
              <w:t xml:space="preserve">Municipio: Popayán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1200"/>
        <w:gridCol w:w="4460"/>
      </w:tblGrid>
      <w:tr>
        <w:tc>
          <w:tcPr>
            <w:tcW w:type="dxa" w:w="25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pPr>
              <w:jc w:val="left"/>
            </w:pPr>
            <w:r>
              <w:rPr>
                <w:rFonts w:ascii="Arial" w:cs="Arial" w:eastAsia="Arial" w:hAnsi="Arial"/>
                <w:b/>
                <w:bCs/>
                <w:i w:val="false"/>
                <w:iCs w:val="false"/>
                <w:color w:val="1A1A1A"/>
                <w:sz w:val="18"/>
                <w:szCs w:val="18"/>
              </w:rPr>
              <w:t xml:space="preserve">¿Zona Rural?</w:t>
            </w:r>
          </w:p>
        </w:tc>
        <w:tc>
          <w:tcPr>
            <w:tcW w:type="dxa" w:w="12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1A1A1A"/>
                <w:sz w:val="18"/>
                <w:szCs w:val="18"/>
              </w:rPr>
              <w:t xml:space="preserve">SI</w:t>
            </w:r>
          </w:p>
        </w:tc>
        <w:tc>
          <w:tcPr>
            <w:tcW w:type="dxa" w:w="12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pPr>
              <w:jc w:val="center"/>
            </w:pPr>
            <w:r>
              <w:rPr>
                <w:rFonts w:ascii="Arial" w:cs="Arial" w:eastAsia="Arial" w:hAnsi="Arial"/>
                <w:b/>
                <w:bCs/>
                <w:i w:val="false"/>
                <w:iCs w:val="false"/>
                <w:color w:val="1F3864"/>
                <w:sz w:val="18"/>
                <w:szCs w:val="18"/>
              </w:rPr>
              <w:t xml:space="preserve">NO  ✓</w:t>
            </w:r>
          </w:p>
        </w:tc>
        <w:tc>
          <w:tcPr>
            <w:tcW w:type="dxa" w:w="446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1A1A1A"/>
                <w:sz w:val="18"/>
                <w:szCs w:val="18"/>
              </w:rPr>
              <w:t xml:space="preserve">Vereda o Corregimiento: N/A</w:t>
            </w:r>
          </w:p>
        </w:tc>
      </w:tr>
    </w:tbl>
    <w:p>
      <w:pPr>
        <w:spacing w:after="60" w:before="60"/>
      </w:pPr>
      <w:r>
        <w:t xml:space="preserve"/>
      </w:r>
    </w:p>
    <w:p>
      <w:pPr>
        <w:spacing w:after="80" w:before="120" w:line="276"/>
        <w:jc w:val="both"/>
      </w:pPr>
      <w:r>
        <w:rPr>
          <w:rFonts w:ascii="Arial" w:cs="Arial" w:eastAsia="Arial" w:hAnsi="Arial"/>
          <w:b/>
          <w:bCs/>
          <w:sz w:val="20"/>
          <w:szCs w:val="20"/>
        </w:rPr>
        <w:t xml:space="preserve">Autor(es):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1400"/>
        <w:gridCol w:w="1200"/>
        <w:gridCol w:w="1500"/>
        <w:gridCol w:w="1000"/>
        <w:gridCol w:w="960"/>
      </w:tblGrid>
      <w:tr>
        <w:tc>
          <w:tcPr>
            <w:tcW w:type="dxa" w:w="500"/>
            <w:tcBorders>
              <w:top w:val="single" w:color="B0B0B0" w:sz="4"/>
              <w:left w:val="single" w:color="B0B0B0" w:sz="4"/>
              <w:bottom w:val="single" w:color="B0B0B0" w:sz="4"/>
              <w:right w:val="single" w:color="B0B0B0" w:sz="4"/>
            </w:tcBorders>
            <w:shd w:fill="1F3864" w:val="clear"/>
            <w:tcMar>
              <w:top w:type="dxa" w:w="60"/>
              <w:left w:type="dxa" w:w="100"/>
              <w:bottom w:type="dxa" w:w="60"/>
              <w:right w:type="dxa" w:w="100"/>
            </w:tcMar>
            <w:vAlign w:val="center"/>
          </w:tcPr>
          <w:p>
            <w:pPr>
              <w:jc w:val="center"/>
            </w:pPr>
            <w:r>
              <w:rPr>
                <w:rFonts w:ascii="Arial" w:cs="Arial" w:eastAsia="Arial" w:hAnsi="Arial"/>
                <w:b/>
                <w:bCs/>
                <w:i w:val="false"/>
                <w:iCs w:val="false"/>
                <w:color w:val="FFFFFF"/>
                <w:sz w:val="18"/>
                <w:szCs w:val="18"/>
              </w:rPr>
              <w:t xml:space="preserve">No.</w:t>
            </w:r>
          </w:p>
        </w:tc>
        <w:tc>
          <w:tcPr>
            <w:tcW w:type="dxa" w:w="2800"/>
            <w:tcBorders>
              <w:top w:val="single" w:color="B0B0B0" w:sz="4"/>
              <w:left w:val="single" w:color="B0B0B0" w:sz="4"/>
              <w:bottom w:val="single" w:color="B0B0B0" w:sz="4"/>
              <w:right w:val="single" w:color="B0B0B0" w:sz="4"/>
            </w:tcBorders>
            <w:shd w:fill="1F3864" w:val="clear"/>
            <w:tcMar>
              <w:top w:type="dxa" w:w="60"/>
              <w:left w:type="dxa" w:w="100"/>
              <w:bottom w:type="dxa" w:w="60"/>
              <w:right w:type="dxa" w:w="100"/>
            </w:tcMar>
            <w:vAlign w:val="center"/>
          </w:tcPr>
          <w:p>
            <w:pPr>
              <w:jc w:val="left"/>
            </w:pPr>
            <w:r>
              <w:rPr>
                <w:rFonts w:ascii="Arial" w:cs="Arial" w:eastAsia="Arial" w:hAnsi="Arial"/>
                <w:b/>
                <w:bCs/>
                <w:i w:val="false"/>
                <w:iCs w:val="false"/>
                <w:color w:val="FFFFFF"/>
                <w:sz w:val="18"/>
                <w:szCs w:val="18"/>
              </w:rPr>
              <w:t xml:space="preserve">Nombres y Apellidos</w:t>
            </w:r>
          </w:p>
        </w:tc>
        <w:tc>
          <w:tcPr>
            <w:tcW w:type="dxa" w:w="1400"/>
            <w:tcBorders>
              <w:top w:val="single" w:color="B0B0B0" w:sz="4"/>
              <w:left w:val="single" w:color="B0B0B0" w:sz="4"/>
              <w:bottom w:val="single" w:color="B0B0B0" w:sz="4"/>
              <w:right w:val="single" w:color="B0B0B0" w:sz="4"/>
            </w:tcBorders>
            <w:shd w:fill="1F3864" w:val="clear"/>
            <w:tcMar>
              <w:top w:type="dxa" w:w="60"/>
              <w:left w:type="dxa" w:w="100"/>
              <w:bottom w:type="dxa" w:w="60"/>
              <w:right w:type="dxa" w:w="100"/>
            </w:tcMar>
            <w:vAlign w:val="center"/>
          </w:tcPr>
          <w:p>
            <w:pPr>
              <w:jc w:val="left"/>
            </w:pPr>
            <w:r>
              <w:rPr>
                <w:rFonts w:ascii="Arial" w:cs="Arial" w:eastAsia="Arial" w:hAnsi="Arial"/>
                <w:b/>
                <w:bCs/>
                <w:i w:val="false"/>
                <w:iCs w:val="false"/>
                <w:color w:val="FFFFFF"/>
                <w:sz w:val="18"/>
                <w:szCs w:val="18"/>
              </w:rPr>
              <w:t xml:space="preserve">Tipo de identificación</w:t>
            </w:r>
          </w:p>
        </w:tc>
        <w:tc>
          <w:tcPr>
            <w:tcW w:type="dxa" w:w="1200"/>
            <w:tcBorders>
              <w:top w:val="single" w:color="B0B0B0" w:sz="4"/>
              <w:left w:val="single" w:color="B0B0B0" w:sz="4"/>
              <w:bottom w:val="single" w:color="B0B0B0" w:sz="4"/>
              <w:right w:val="single" w:color="B0B0B0" w:sz="4"/>
            </w:tcBorders>
            <w:shd w:fill="1F3864" w:val="clear"/>
            <w:tcMar>
              <w:top w:type="dxa" w:w="60"/>
              <w:left w:type="dxa" w:w="100"/>
              <w:bottom w:type="dxa" w:w="60"/>
              <w:right w:type="dxa" w:w="100"/>
            </w:tcMar>
            <w:vAlign w:val="center"/>
          </w:tcPr>
          <w:p>
            <w:pPr>
              <w:jc w:val="left"/>
            </w:pPr>
            <w:r>
              <w:rPr>
                <w:rFonts w:ascii="Arial" w:cs="Arial" w:eastAsia="Arial" w:hAnsi="Arial"/>
                <w:b/>
                <w:bCs/>
                <w:i w:val="false"/>
                <w:iCs w:val="false"/>
                <w:color w:val="FFFFFF"/>
                <w:sz w:val="18"/>
                <w:szCs w:val="18"/>
              </w:rPr>
              <w:t xml:space="preserve">No. identificación</w:t>
            </w:r>
          </w:p>
        </w:tc>
        <w:tc>
          <w:tcPr>
            <w:tcW w:type="dxa" w:w="1500"/>
            <w:tcBorders>
              <w:top w:val="single" w:color="B0B0B0" w:sz="4"/>
              <w:left w:val="single" w:color="B0B0B0" w:sz="4"/>
              <w:bottom w:val="single" w:color="B0B0B0" w:sz="4"/>
              <w:right w:val="single" w:color="B0B0B0" w:sz="4"/>
            </w:tcBorders>
            <w:shd w:fill="1F3864" w:val="clear"/>
            <w:tcMar>
              <w:top w:type="dxa" w:w="60"/>
              <w:left w:type="dxa" w:w="100"/>
              <w:bottom w:type="dxa" w:w="60"/>
              <w:right w:type="dxa" w:w="100"/>
            </w:tcMar>
            <w:vAlign w:val="center"/>
          </w:tcPr>
          <w:p>
            <w:pPr>
              <w:jc w:val="left"/>
            </w:pPr>
            <w:r>
              <w:rPr>
                <w:rFonts w:ascii="Arial" w:cs="Arial" w:eastAsia="Arial" w:hAnsi="Arial"/>
                <w:b/>
                <w:bCs/>
                <w:i w:val="false"/>
                <w:iCs w:val="false"/>
                <w:color w:val="FFFFFF"/>
                <w:sz w:val="18"/>
                <w:szCs w:val="18"/>
              </w:rPr>
              <w:t xml:space="preserve">Curso</w:t>
            </w:r>
          </w:p>
        </w:tc>
        <w:tc>
          <w:tcPr>
            <w:tcW w:type="dxa" w:w="1000"/>
            <w:tcBorders>
              <w:top w:val="single" w:color="B0B0B0" w:sz="4"/>
              <w:left w:val="single" w:color="B0B0B0" w:sz="4"/>
              <w:bottom w:val="single" w:color="B0B0B0" w:sz="4"/>
              <w:right w:val="single" w:color="B0B0B0" w:sz="4"/>
            </w:tcBorders>
            <w:shd w:fill="1F3864" w:val="clear"/>
            <w:tcMar>
              <w:top w:type="dxa" w:w="60"/>
              <w:left w:type="dxa" w:w="100"/>
              <w:bottom w:type="dxa" w:w="60"/>
              <w:right w:type="dxa" w:w="100"/>
            </w:tcMar>
            <w:vAlign w:val="center"/>
          </w:tcPr>
          <w:p>
            <w:pPr>
              <w:jc w:val="left"/>
            </w:pPr>
            <w:r>
              <w:rPr>
                <w:rFonts w:ascii="Arial" w:cs="Arial" w:eastAsia="Arial" w:hAnsi="Arial"/>
                <w:b/>
                <w:bCs/>
                <w:i w:val="false"/>
                <w:iCs w:val="false"/>
                <w:color w:val="FFFFFF"/>
                <w:sz w:val="18"/>
                <w:szCs w:val="18"/>
              </w:rPr>
              <w:t xml:space="preserve">Nivel</w:t>
            </w:r>
          </w:p>
        </w:tc>
        <w:tc>
          <w:tcPr>
            <w:tcW w:type="dxa" w:w="960"/>
            <w:tcBorders>
              <w:top w:val="single" w:color="B0B0B0" w:sz="4"/>
              <w:left w:val="single" w:color="B0B0B0" w:sz="4"/>
              <w:bottom w:val="single" w:color="B0B0B0" w:sz="4"/>
              <w:right w:val="single" w:color="B0B0B0" w:sz="4"/>
            </w:tcBorders>
            <w:shd w:fill="1F3864" w:val="clear"/>
            <w:tcMar>
              <w:top w:type="dxa" w:w="60"/>
              <w:left w:type="dxa" w:w="100"/>
              <w:bottom w:type="dxa" w:w="60"/>
              <w:right w:type="dxa" w:w="100"/>
            </w:tcMar>
            <w:vAlign w:val="center"/>
          </w:tcPr>
          <w:p>
            <w:pPr>
              <w:jc w:val="left"/>
            </w:pPr>
            <w:r>
              <w:rPr>
                <w:rFonts w:ascii="Arial" w:cs="Arial" w:eastAsia="Arial" w:hAnsi="Arial"/>
                <w:b/>
                <w:bCs/>
                <w:i w:val="false"/>
                <w:iCs w:val="false"/>
                <w:color w:val="FFFFFF"/>
                <w:sz w:val="18"/>
                <w:szCs w:val="18"/>
              </w:rPr>
              <w:t xml:space="preserve">Modalidad</w:t>
            </w:r>
          </w:p>
        </w:tc>
      </w:tr>
      <w:tr>
        <w:tc>
          <w:tcPr>
            <w:tcW w:type="dxa" w:w="5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1A1A1A"/>
                <w:sz w:val="18"/>
                <w:szCs w:val="18"/>
              </w:rPr>
              <w:t xml:space="preserve">1</w:t>
            </w:r>
          </w:p>
        </w:tc>
        <w:tc>
          <w:tcPr>
            <w:tcW w:type="dxa" w:w="28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1A1A1A"/>
                <w:sz w:val="18"/>
                <w:szCs w:val="18"/>
              </w:rPr>
              <w:t xml:space="preserve">Kevin Eduardo Obando Santander</w:t>
            </w:r>
          </w:p>
        </w:tc>
        <w:tc>
          <w:tcPr>
            <w:tcW w:type="dxa" w:w="14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1A1A1A"/>
                <w:sz w:val="18"/>
                <w:szCs w:val="18"/>
              </w:rPr>
              <w:t xml:space="preserve">Cédula de Ciudadanía</w:t>
            </w:r>
          </w:p>
        </w:tc>
        <w:tc>
          <w:tcPr>
            <w:tcW w:type="dxa" w:w="12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1A1A1A"/>
                <w:sz w:val="18"/>
                <w:szCs w:val="18"/>
              </w:rPr>
              <w:t xml:space="preserve">1002966723</w:t>
            </w:r>
          </w:p>
        </w:tc>
        <w:tc>
          <w:tcPr>
            <w:tcW w:type="dxa" w:w="15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1A1A1A"/>
                <w:sz w:val="18"/>
                <w:szCs w:val="18"/>
              </w:rPr>
              <w:t xml:space="preserve">Programación / IA</w:t>
            </w:r>
          </w:p>
        </w:tc>
        <w:tc>
          <w:tcPr>
            <w:tcW w:type="dxa" w:w="10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1A1A1A"/>
                <w:sz w:val="18"/>
                <w:szCs w:val="18"/>
              </w:rPr>
              <w:t xml:space="preserve">Explorador</w:t>
            </w:r>
          </w:p>
        </w:tc>
        <w:tc>
          <w:tcPr>
            <w:tcW w:type="dxa" w:w="96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1A1A1A"/>
                <w:sz w:val="18"/>
                <w:szCs w:val="18"/>
              </w:rPr>
              <w:t xml:space="preserve">Presencial</w:t>
            </w:r>
          </w:p>
        </w:tc>
      </w:tr>
    </w:tbl>
    <w:p>
      <w:pPr>
        <w:spacing w:after="60" w:before="60"/>
      </w:pPr>
      <w:r>
        <w:t xml:space="preserve"/>
      </w:r>
    </w:p>
    <w:p>
      <w:pPr>
        <w:spacing w:after="80" w:before="120" w:line="276"/>
        <w:jc w:val="both"/>
      </w:pPr>
      <w:r>
        <w:rPr>
          <w:rFonts w:ascii="Arial" w:cs="Arial" w:eastAsia="Arial" w:hAnsi="Arial"/>
          <w:b/>
          <w:bCs/>
          <w:sz w:val="20"/>
          <w:szCs w:val="20"/>
        </w:rPr>
        <w:t xml:space="preserve">Palabras clave</w:t>
      </w:r>
      <w:r>
        <w:rPr>
          <w:rFonts w:ascii="Arial" w:cs="Arial" w:eastAsia="Arial" w:hAnsi="Arial"/>
          <w:sz w:val="20"/>
          <w:szCs w:val="20"/>
        </w:rPr>
        <w:t xml:space="preserve"> (conceptos con los que se relaciona 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0B0B0" w:sz="4"/>
              <w:left w:val="single" w:color="B0B0B0" w:sz="4"/>
              <w:bottom w:val="single" w:color="B0B0B0" w:sz="4"/>
              <w:right w:val="single" w:color="B0B0B0" w:sz="4"/>
            </w:tcBorders>
            <w:shd w:fill="1F3864" w:val="clear"/>
            <w:tcMar>
              <w:top w:type="dxa" w:w="60"/>
              <w:left w:type="dxa" w:w="100"/>
              <w:bottom w:type="dxa" w:w="60"/>
              <w:right w:type="dxa" w:w="100"/>
            </w:tcMar>
            <w:vAlign w:val="center"/>
          </w:tcPr>
          <w:p>
            <w:pPr>
              <w:jc w:val="left"/>
            </w:pPr>
            <w:r>
              <w:rPr>
                <w:rFonts w:ascii="Arial" w:cs="Arial" w:eastAsia="Arial" w:hAnsi="Arial"/>
                <w:b/>
                <w:bCs/>
                <w:i w:val="false"/>
                <w:iCs w:val="false"/>
                <w:color w:val="FFFFFF"/>
                <w:sz w:val="18"/>
                <w:szCs w:val="18"/>
              </w:rPr>
              <w:t xml:space="preserve">Palabra clave 1</w:t>
            </w:r>
          </w:p>
        </w:tc>
        <w:tc>
          <w:tcPr>
            <w:tcW w:type="dxa" w:w="636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1A1A1A"/>
                <w:sz w:val="18"/>
                <w:szCs w:val="18"/>
              </w:rPr>
              <w:t xml:space="preserve">Gestión de tareas digital</w:t>
            </w:r>
          </w:p>
        </w:tc>
      </w:tr>
      <w:tr>
        <w:tc>
          <w:tcPr>
            <w:tcW w:type="dxa" w:w="3000"/>
            <w:tcBorders>
              <w:top w:val="single" w:color="B0B0B0" w:sz="4"/>
              <w:left w:val="single" w:color="B0B0B0" w:sz="4"/>
              <w:bottom w:val="single" w:color="B0B0B0" w:sz="4"/>
              <w:right w:val="single" w:color="B0B0B0" w:sz="4"/>
            </w:tcBorders>
            <w:shd w:fill="1F3864" w:val="clear"/>
            <w:tcMar>
              <w:top w:type="dxa" w:w="60"/>
              <w:left w:type="dxa" w:w="100"/>
              <w:bottom w:type="dxa" w:w="60"/>
              <w:right w:type="dxa" w:w="100"/>
            </w:tcMar>
            <w:vAlign w:val="center"/>
          </w:tcPr>
          <w:p>
            <w:pPr>
              <w:jc w:val="left"/>
            </w:pPr>
            <w:r>
              <w:rPr>
                <w:rFonts w:ascii="Arial" w:cs="Arial" w:eastAsia="Arial" w:hAnsi="Arial"/>
                <w:b/>
                <w:bCs/>
                <w:i w:val="false"/>
                <w:iCs w:val="false"/>
                <w:color w:val="FFFFFF"/>
                <w:sz w:val="18"/>
                <w:szCs w:val="18"/>
              </w:rPr>
              <w:t xml:space="preserve">Palabra clave 2</w:t>
            </w:r>
          </w:p>
        </w:tc>
        <w:tc>
          <w:tcPr>
            <w:tcW w:type="dxa" w:w="636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1A1A1A"/>
                <w:sz w:val="18"/>
                <w:szCs w:val="18"/>
              </w:rPr>
              <w:t xml:space="preserve">Aplicación web SPA</w:t>
            </w:r>
          </w:p>
        </w:tc>
      </w:tr>
      <w:tr>
        <w:tc>
          <w:tcPr>
            <w:tcW w:type="dxa" w:w="3000"/>
            <w:tcBorders>
              <w:top w:val="single" w:color="B0B0B0" w:sz="4"/>
              <w:left w:val="single" w:color="B0B0B0" w:sz="4"/>
              <w:bottom w:val="single" w:color="B0B0B0" w:sz="4"/>
              <w:right w:val="single" w:color="B0B0B0" w:sz="4"/>
            </w:tcBorders>
            <w:shd w:fill="1F3864" w:val="clear"/>
            <w:tcMar>
              <w:top w:type="dxa" w:w="60"/>
              <w:left w:type="dxa" w:w="100"/>
              <w:bottom w:type="dxa" w:w="60"/>
              <w:right w:type="dxa" w:w="100"/>
            </w:tcMar>
            <w:vAlign w:val="center"/>
          </w:tcPr>
          <w:p>
            <w:pPr>
              <w:jc w:val="left"/>
            </w:pPr>
            <w:r>
              <w:rPr>
                <w:rFonts w:ascii="Arial" w:cs="Arial" w:eastAsia="Arial" w:hAnsi="Arial"/>
                <w:b/>
                <w:bCs/>
                <w:i w:val="false"/>
                <w:iCs w:val="false"/>
                <w:color w:val="FFFFFF"/>
                <w:sz w:val="18"/>
                <w:szCs w:val="18"/>
              </w:rPr>
              <w:t xml:space="preserve">Palabra clave 3</w:t>
            </w:r>
          </w:p>
        </w:tc>
        <w:tc>
          <w:tcPr>
            <w:tcW w:type="dxa" w:w="636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1A1A1A"/>
                <w:sz w:val="18"/>
                <w:szCs w:val="18"/>
              </w:rPr>
              <w:t xml:space="preserve">Dashboard de rendimiento laboral</w:t>
            </w:r>
          </w:p>
        </w:tc>
      </w:tr>
      <w:tr>
        <w:tc>
          <w:tcPr>
            <w:tcW w:type="dxa" w:w="3000"/>
            <w:tcBorders>
              <w:top w:val="single" w:color="B0B0B0" w:sz="4"/>
              <w:left w:val="single" w:color="B0B0B0" w:sz="4"/>
              <w:bottom w:val="single" w:color="B0B0B0" w:sz="4"/>
              <w:right w:val="single" w:color="B0B0B0" w:sz="4"/>
            </w:tcBorders>
            <w:shd w:fill="1F3864" w:val="clear"/>
            <w:tcMar>
              <w:top w:type="dxa" w:w="60"/>
              <w:left w:type="dxa" w:w="100"/>
              <w:bottom w:type="dxa" w:w="60"/>
              <w:right w:type="dxa" w:w="100"/>
            </w:tcMar>
            <w:vAlign w:val="center"/>
          </w:tcPr>
          <w:p>
            <w:pPr>
              <w:jc w:val="left"/>
            </w:pPr>
            <w:r>
              <w:rPr>
                <w:rFonts w:ascii="Arial" w:cs="Arial" w:eastAsia="Arial" w:hAnsi="Arial"/>
                <w:b/>
                <w:bCs/>
                <w:i w:val="false"/>
                <w:iCs w:val="false"/>
                <w:color w:val="FFFFFF"/>
                <w:sz w:val="18"/>
                <w:szCs w:val="18"/>
              </w:rPr>
              <w:t xml:space="preserve">Palabra clave 4</w:t>
            </w:r>
          </w:p>
        </w:tc>
        <w:tc>
          <w:tcPr>
            <w:tcW w:type="dxa" w:w="636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1A1A1A"/>
                <w:sz w:val="18"/>
                <w:szCs w:val="18"/>
              </w:rPr>
              <w:t xml:space="preserve">Transformación digital para PYMES</w:t>
            </w:r>
          </w:p>
        </w:tc>
      </w:tr>
    </w:tbl>
    <w:p>
      <w:r>
        <w:br w:type="page"/>
      </w:r>
    </w:p>
    <w:p>
      <w:pPr>
        <w:pBdr>
          <w:top w:val="single" w:color="7B5E2A" w:sz="8" w:space="0"/>
        </w:pBdr>
        <w:shd w:fill="1F3864" w:val="clear"/>
        <w:spacing w:after="100" w:before="220"/>
        <w:ind w:left="120" w:right="120"/>
      </w:pPr>
      <w:r>
        <w:rPr>
          <w:rFonts w:ascii="Arial" w:cs="Arial" w:eastAsia="Arial" w:hAnsi="Arial"/>
          <w:b/>
          <w:bCs/>
          <w:color w:val="FFFFFF"/>
          <w:sz w:val="22"/>
          <w:szCs w:val="22"/>
        </w:rPr>
        <w:t xml:space="preserve">1. Planteamiento del problema que solucionará el producto/servicio</w:t>
      </w:r>
    </w:p>
    <w:p>
      <w:pPr>
        <w:spacing w:after="60" w:before="60"/>
      </w:pPr>
      <w:r>
        <w:t xml:space="preserve"/>
      </w:r>
    </w:p>
    <w:p>
      <w:pPr>
        <w:spacing w:after="60" w:before="60" w:line="276"/>
        <w:jc w:val="both"/>
      </w:pPr>
      <w:r>
        <w:rPr>
          <w:rFonts w:ascii="Arial" w:cs="Arial" w:eastAsia="Arial" w:hAnsi="Arial"/>
          <w:b w:val="false"/>
          <w:bCs w:val="false"/>
          <w:i w:val="false"/>
          <w:iCs w:val="false"/>
          <w:color w:val="1A1A1A"/>
          <w:sz w:val="20"/>
          <w:szCs w:val="20"/>
        </w:rPr>
        <w:t xml:space="preserve">En el sector del comercio minorista de perfumería, la gestión interna del equipo de trabajo se realiza, en la mayoría de los casos, de forma completamente informal. Los administradores recurren a instrucciones verbales, mensajes de texto por aplicaciones de mensajería o listas escritas a mano para asignar responsabilidades a sus colaboradores. Este esquema, si bien funciona de manera rudimentaria, genera una serie de problemas operativos concretos que afectan la productividad y la calidad del servicio.</w:t>
      </w:r>
    </w:p>
    <w:p>
      <w:pPr>
        <w:spacing w:after="60" w:before="60" w:line="276"/>
        <w:jc w:val="both"/>
      </w:pPr>
      <w:r>
        <w:rPr>
          <w:rFonts w:ascii="Arial" w:cs="Arial" w:eastAsia="Arial" w:hAnsi="Arial"/>
          <w:b w:val="false"/>
          <w:bCs w:val="false"/>
          <w:i w:val="false"/>
          <w:iCs w:val="false"/>
          <w:color w:val="1A1A1A"/>
          <w:sz w:val="20"/>
          <w:szCs w:val="20"/>
        </w:rPr>
        <w:t xml:space="preserve">Perfum Plus, una tienda de perfumería ubicada en la ciudad de Popayán, Cauca, opera con un equipo de tres colaboradores a cargo de tareas en áreas de ventas, atención al cliente, orden y limpieza del local, gestión de redes sociales e inventario. El administrador (CEO) del negocio no cuenta con ninguna herramienta digital centralizada para: (1) asignar tareas de forma estructurada a cada colaborador según su rol y turno, (2) monitorear en tiempo real el cumplimiento de dichas tareas durante la jornada laboral, (3) evaluar el desempeño individual de cada empleado de manera objetiva y documentada, ni (4) acceder a registros históricos que le permitan identificar patrones de rendimiento y tomar decisiones informadas sobre la gestión del equipo.</w:t>
      </w:r>
    </w:p>
    <w:p>
      <w:pPr>
        <w:spacing w:after="60" w:before="60" w:line="276"/>
        <w:jc w:val="both"/>
      </w:pPr>
      <w:r>
        <w:rPr>
          <w:rFonts w:ascii="Arial" w:cs="Arial" w:eastAsia="Arial" w:hAnsi="Arial"/>
          <w:b w:val="false"/>
          <w:bCs w:val="false"/>
          <w:i w:val="false"/>
          <w:iCs w:val="false"/>
          <w:color w:val="1A1A1A"/>
          <w:sz w:val="20"/>
          <w:szCs w:val="20"/>
        </w:rPr>
        <w:t xml:space="preserve">Como resultado de esta situación, las oportunidades de mejora operativa se pierden, la comunicación entre el administrador y los colaboradores es inconsistente, y no existe ningún mecanismo formal de retroalimentación que permita motivar al equipo o detectar oportunamente problemas de desempeño. Este vacío tecnológico es la necesidad central que busca resolver Perfum Plus — Sistema de Gestión de Tareas.</w:t>
      </w:r>
    </w:p>
    <w:p>
      <w:pPr>
        <w:spacing w:after="60" w:before="60"/>
      </w:pPr>
      <w:r>
        <w:t xml:space="preserve"/>
      </w:r>
    </w:p>
    <w:p>
      <w:pPr>
        <w:pBdr>
          <w:top w:val="single" w:color="7B5E2A" w:sz="8" w:space="0"/>
        </w:pBdr>
        <w:shd w:fill="1F3864" w:val="clear"/>
        <w:spacing w:after="100" w:before="220"/>
        <w:ind w:left="120" w:right="120"/>
      </w:pPr>
      <w:r>
        <w:rPr>
          <w:rFonts w:ascii="Arial" w:cs="Arial" w:eastAsia="Arial" w:hAnsi="Arial"/>
          <w:b/>
          <w:bCs/>
          <w:color w:val="FFFFFF"/>
          <w:sz w:val="22"/>
          <w:szCs w:val="22"/>
        </w:rPr>
        <w:t xml:space="preserve">2. Pertinencia del proyecto TI</w:t>
      </w:r>
    </w:p>
    <w:p>
      <w:pPr>
        <w:spacing w:after="60" w:before="60"/>
      </w:pPr>
      <w:r>
        <w:t xml:space="preserve"/>
      </w:r>
    </w:p>
    <w:p>
      <w:pPr>
        <w:spacing w:after="60" w:before="60" w:line="276"/>
        <w:jc w:val="both"/>
      </w:pPr>
      <w:r>
        <w:rPr>
          <w:rFonts w:ascii="Arial" w:cs="Arial" w:eastAsia="Arial" w:hAnsi="Arial"/>
          <w:b w:val="false"/>
          <w:bCs w:val="false"/>
          <w:i w:val="false"/>
          <w:iCs w:val="false"/>
          <w:color w:val="1A1A1A"/>
          <w:sz w:val="20"/>
          <w:szCs w:val="20"/>
        </w:rPr>
        <w:t xml:space="preserve">El presente proyecto responde a una necesidad concreta y documentada del sector del comercio minorista colombiano. Según datos del DANE, más del 95% de las empresas en Colombia son microempresas o pequeñas empresas, y la gran mayoría de ellas carece de herramientas tecnológicas accesibles para la gestión interna de sus equipos de trabajo. Este contexto convierte a Perfum Plus en un caso representativo de una problemática estructural que afecta a miles de negocios en todo el país.</w:t>
      </w:r>
    </w:p>
    <w:p>
      <w:pPr>
        <w:spacing w:after="60" w:before="60" w:line="276"/>
        <w:jc w:val="both"/>
      </w:pPr>
      <w:r>
        <w:rPr>
          <w:rFonts w:ascii="Arial" w:cs="Arial" w:eastAsia="Arial" w:hAnsi="Arial"/>
          <w:b w:val="false"/>
          <w:bCs w:val="false"/>
          <w:i w:val="false"/>
          <w:iCs w:val="false"/>
          <w:color w:val="1A1A1A"/>
          <w:sz w:val="20"/>
          <w:szCs w:val="20"/>
        </w:rPr>
        <w:t xml:space="preserve">El desarrollo de una aplicación web liviana, sin necesidad de instalación, de interfaz intuitiva y sin costo de licenciamiento, se alinea directamente con los objetivos de transformación digital que promueve el Ministerio de Tecnologías de la Información y las Comunicaciones (MinTIC) en Colombia a través del programa Talento Tech, cuya misión es fomentar el uso de la tecnología como motor de desarrollo económico y social.</w:t>
      </w:r>
    </w:p>
    <w:p>
      <w:pPr>
        <w:spacing w:after="60" w:before="60" w:line="276"/>
        <w:jc w:val="both"/>
      </w:pPr>
      <w:r>
        <w:rPr>
          <w:rFonts w:ascii="Arial" w:cs="Arial" w:eastAsia="Arial" w:hAnsi="Arial"/>
          <w:b w:val="false"/>
          <w:bCs w:val="false"/>
          <w:i w:val="false"/>
          <w:iCs w:val="false"/>
          <w:color w:val="1A1A1A"/>
          <w:sz w:val="20"/>
          <w:szCs w:val="20"/>
        </w:rPr>
        <w:t xml:space="preserve">La pertinencia del proyecto se puede analizar desde tres ejes principales:</w:t>
      </w:r>
    </w:p>
    <w:p>
      <w:pPr>
        <w:pStyle w:val="ListParagraph"/>
        <w:numPr>
          <w:ilvl w:val="0"/>
          <w:numId w:val="2"/>
        </w:numPr>
        <w:spacing w:after="60" w:before="60" w:line="276"/>
        <w:jc w:val="both"/>
      </w:pPr>
      <w:r>
        <w:rPr>
          <w:rFonts w:ascii="Arial" w:cs="Arial" w:eastAsia="Arial" w:hAnsi="Arial"/>
          <w:b w:val="false"/>
          <w:bCs w:val="false"/>
          <w:i w:val="false"/>
          <w:iCs w:val="false"/>
          <w:color w:val="1A1A1A"/>
          <w:sz w:val="20"/>
          <w:szCs w:val="20"/>
        </w:rPr>
        <w:t xml:space="preserve">Digitalización de procesos operativos: la app reemplaza métodos informales (mensajes de voz, listas en papel) por un sistema estructurado y centralizado de asignación y seguimiento de tareas, contribuyendo directamente a la modernización del negocio.</w:t>
      </w:r>
    </w:p>
    <w:p>
      <w:pPr>
        <w:pStyle w:val="ListParagraph"/>
        <w:numPr>
          <w:ilvl w:val="0"/>
          <w:numId w:val="2"/>
        </w:numPr>
        <w:spacing w:after="60" w:before="60" w:line="276"/>
        <w:jc w:val="both"/>
      </w:pPr>
      <w:r>
        <w:rPr>
          <w:rFonts w:ascii="Arial" w:cs="Arial" w:eastAsia="Arial" w:hAnsi="Arial"/>
          <w:b w:val="false"/>
          <w:bCs w:val="false"/>
          <w:i w:val="false"/>
          <w:iCs w:val="false"/>
          <w:color w:val="1A1A1A"/>
          <w:sz w:val="20"/>
          <w:szCs w:val="20"/>
        </w:rPr>
        <w:t xml:space="preserve">Empoderamiento en la toma de decisiones: el dashboard analítico del CEO pone a disposición del administrador datos reales de desempeño histórico, gráficas comparativas por colaborador y alertas inteligentes, herramientas que antes eran exclusivas de empresas con mayor capacidad de inversión tecnológica.</w:t>
      </w:r>
    </w:p>
    <w:p>
      <w:pPr>
        <w:pStyle w:val="ListParagraph"/>
        <w:numPr>
          <w:ilvl w:val="0"/>
          <w:numId w:val="2"/>
        </w:numPr>
        <w:spacing w:after="60" w:before="60" w:line="276"/>
        <w:jc w:val="both"/>
      </w:pPr>
      <w:r>
        <w:rPr>
          <w:rFonts w:ascii="Arial" w:cs="Arial" w:eastAsia="Arial" w:hAnsi="Arial"/>
          <w:b w:val="false"/>
          <w:bCs w:val="false"/>
          <w:i w:val="false"/>
          <w:iCs w:val="false"/>
          <w:color w:val="1A1A1A"/>
          <w:sz w:val="20"/>
          <w:szCs w:val="20"/>
        </w:rPr>
        <w:t xml:space="preserve">Mejora del clima laboral y la cultura de responsabilidad: la retroalimentación estructurada (calificaciones de turno, mensajes del CEO, sistema de retos motivacionales) establece un canal formal de comunicación entre el administrador y el equipo, fomentando el reconocimiento del buen desempeño y la identificación temprana de dificultades.</w:t>
      </w:r>
    </w:p>
    <w:p>
      <w:pPr>
        <w:spacing w:after="60" w:before="60"/>
      </w:pPr>
      <w:r>
        <w:t xml:space="preserve"/>
      </w:r>
    </w:p>
    <w:p>
      <w:r>
        <w:br w:type="page"/>
      </w:r>
    </w:p>
    <w:p>
      <w:pPr>
        <w:pBdr>
          <w:top w:val="single" w:color="7B5E2A" w:sz="8" w:space="0"/>
        </w:pBdr>
        <w:shd w:fill="1F3864" w:val="clear"/>
        <w:spacing w:after="100" w:before="220"/>
        <w:ind w:left="120" w:right="120"/>
      </w:pPr>
      <w:r>
        <w:rPr>
          <w:rFonts w:ascii="Arial" w:cs="Arial" w:eastAsia="Arial" w:hAnsi="Arial"/>
          <w:b/>
          <w:bCs/>
          <w:color w:val="FFFFFF"/>
          <w:sz w:val="22"/>
          <w:szCs w:val="22"/>
        </w:rPr>
        <w:t xml:space="preserve">3. Estado del arte de productos/servicios existentes y ventajas comparativas</w:t>
      </w:r>
    </w:p>
    <w:p>
      <w:pPr>
        <w:spacing w:after="60" w:before="60"/>
      </w:pPr>
      <w:r>
        <w:t xml:space="preserve"/>
      </w:r>
    </w:p>
    <w:p>
      <w:pPr>
        <w:spacing w:after="60" w:before="60" w:line="276"/>
        <w:jc w:val="both"/>
      </w:pPr>
      <w:r>
        <w:rPr>
          <w:rFonts w:ascii="Arial" w:cs="Arial" w:eastAsia="Arial" w:hAnsi="Arial"/>
          <w:b w:val="false"/>
          <w:bCs w:val="false"/>
          <w:i w:val="false"/>
          <w:iCs w:val="false"/>
          <w:color w:val="1A1A1A"/>
          <w:sz w:val="20"/>
          <w:szCs w:val="20"/>
        </w:rPr>
        <w:t xml:space="preserve">A continuación se presenta un análisis comparativo entre los principales productos y herramientas existentes en el mercado que podrían ser utilizados para gestionar tareas y equipos de trabajo, y la propuesta de valor diferencial que ofrece Perfum Plus: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1700"/>
        <w:gridCol w:w="1700"/>
        <w:gridCol w:w="2760"/>
      </w:tblGrid>
      <w:tr>
        <w:tc>
          <w:tcPr>
            <w:tcW w:type="dxa" w:w="1700"/>
            <w:tcBorders>
              <w:top w:val="single" w:color="B0B0B0" w:sz="4"/>
              <w:left w:val="single" w:color="B0B0B0" w:sz="4"/>
              <w:bottom w:val="single" w:color="B0B0B0" w:sz="4"/>
              <w:right w:val="single" w:color="B0B0B0" w:sz="4"/>
            </w:tcBorders>
            <w:shd w:fill="1F3864" w:val="clear"/>
            <w:tcMar>
              <w:top w:type="dxa" w:w="60"/>
              <w:left w:type="dxa" w:w="100"/>
              <w:bottom w:type="dxa" w:w="60"/>
              <w:right w:type="dxa" w:w="100"/>
            </w:tcMar>
            <w:vAlign w:val="center"/>
          </w:tcPr>
          <w:p>
            <w:pPr>
              <w:jc w:val="left"/>
            </w:pPr>
            <w:r>
              <w:rPr>
                <w:rFonts w:ascii="Arial" w:cs="Arial" w:eastAsia="Arial" w:hAnsi="Arial"/>
                <w:b/>
                <w:bCs/>
                <w:i w:val="false"/>
                <w:iCs w:val="false"/>
                <w:color w:val="FFFFFF"/>
                <w:sz w:val="18"/>
                <w:szCs w:val="18"/>
              </w:rPr>
              <w:t xml:space="preserve">Nombre del producto</w:t>
            </w:r>
          </w:p>
        </w:tc>
        <w:tc>
          <w:tcPr>
            <w:tcW w:type="dxa" w:w="1500"/>
            <w:tcBorders>
              <w:top w:val="single" w:color="B0B0B0" w:sz="4"/>
              <w:left w:val="single" w:color="B0B0B0" w:sz="4"/>
              <w:bottom w:val="single" w:color="B0B0B0" w:sz="4"/>
              <w:right w:val="single" w:color="B0B0B0" w:sz="4"/>
            </w:tcBorders>
            <w:shd w:fill="1F3864" w:val="clear"/>
            <w:tcMar>
              <w:top w:type="dxa" w:w="60"/>
              <w:left w:type="dxa" w:w="100"/>
              <w:bottom w:type="dxa" w:w="60"/>
              <w:right w:type="dxa" w:w="100"/>
            </w:tcMar>
            <w:vAlign w:val="center"/>
          </w:tcPr>
          <w:p>
            <w:pPr>
              <w:jc w:val="left"/>
            </w:pPr>
            <w:r>
              <w:rPr>
                <w:rFonts w:ascii="Arial" w:cs="Arial" w:eastAsia="Arial" w:hAnsi="Arial"/>
                <w:b/>
                <w:bCs/>
                <w:i w:val="false"/>
                <w:iCs w:val="false"/>
                <w:color w:val="FFFFFF"/>
                <w:sz w:val="18"/>
                <w:szCs w:val="18"/>
              </w:rPr>
              <w:t xml:space="preserve">Fabricante / País</w:t>
            </w:r>
          </w:p>
        </w:tc>
        <w:tc>
          <w:tcPr>
            <w:tcW w:type="dxa" w:w="1700"/>
            <w:tcBorders>
              <w:top w:val="single" w:color="B0B0B0" w:sz="4"/>
              <w:left w:val="single" w:color="B0B0B0" w:sz="4"/>
              <w:bottom w:val="single" w:color="B0B0B0" w:sz="4"/>
              <w:right w:val="single" w:color="B0B0B0" w:sz="4"/>
            </w:tcBorders>
            <w:shd w:fill="1F3864" w:val="clear"/>
            <w:tcMar>
              <w:top w:type="dxa" w:w="60"/>
              <w:left w:type="dxa" w:w="100"/>
              <w:bottom w:type="dxa" w:w="60"/>
              <w:right w:type="dxa" w:w="100"/>
            </w:tcMar>
            <w:vAlign w:val="center"/>
          </w:tcPr>
          <w:p>
            <w:pPr>
              <w:jc w:val="left"/>
            </w:pPr>
            <w:r>
              <w:rPr>
                <w:rFonts w:ascii="Arial" w:cs="Arial" w:eastAsia="Arial" w:hAnsi="Arial"/>
                <w:b/>
                <w:bCs/>
                <w:i w:val="false"/>
                <w:iCs w:val="false"/>
                <w:color w:val="FFFFFF"/>
                <w:sz w:val="18"/>
                <w:szCs w:val="18"/>
              </w:rPr>
              <w:t xml:space="preserve">Ventajas frente a mi producto</w:t>
            </w:r>
          </w:p>
        </w:tc>
        <w:tc>
          <w:tcPr>
            <w:tcW w:type="dxa" w:w="1700"/>
            <w:tcBorders>
              <w:top w:val="single" w:color="B0B0B0" w:sz="4"/>
              <w:left w:val="single" w:color="B0B0B0" w:sz="4"/>
              <w:bottom w:val="single" w:color="B0B0B0" w:sz="4"/>
              <w:right w:val="single" w:color="B0B0B0" w:sz="4"/>
            </w:tcBorders>
            <w:shd w:fill="1F3864" w:val="clear"/>
            <w:tcMar>
              <w:top w:type="dxa" w:w="60"/>
              <w:left w:type="dxa" w:w="100"/>
              <w:bottom w:type="dxa" w:w="60"/>
              <w:right w:type="dxa" w:w="100"/>
            </w:tcMar>
            <w:vAlign w:val="center"/>
          </w:tcPr>
          <w:p>
            <w:pPr>
              <w:jc w:val="left"/>
            </w:pPr>
            <w:r>
              <w:rPr>
                <w:rFonts w:ascii="Arial" w:cs="Arial" w:eastAsia="Arial" w:hAnsi="Arial"/>
                <w:b/>
                <w:bCs/>
                <w:i w:val="false"/>
                <w:iCs w:val="false"/>
                <w:color w:val="FFFFFF"/>
                <w:sz w:val="18"/>
                <w:szCs w:val="18"/>
              </w:rPr>
              <w:t xml:space="preserve">Ventajas de mi producto frente a éste</w:t>
            </w:r>
          </w:p>
        </w:tc>
        <w:tc>
          <w:tcPr>
            <w:tcW w:type="dxa" w:w="2760"/>
            <w:tcBorders>
              <w:top w:val="single" w:color="B0B0B0" w:sz="4"/>
              <w:left w:val="single" w:color="B0B0B0" w:sz="4"/>
              <w:bottom w:val="single" w:color="B0B0B0" w:sz="4"/>
              <w:right w:val="single" w:color="B0B0B0" w:sz="4"/>
            </w:tcBorders>
            <w:shd w:fill="1F3864" w:val="clear"/>
            <w:tcMar>
              <w:top w:type="dxa" w:w="60"/>
              <w:left w:type="dxa" w:w="100"/>
              <w:bottom w:type="dxa" w:w="60"/>
              <w:right w:type="dxa" w:w="100"/>
            </w:tcMar>
            <w:vAlign w:val="center"/>
          </w:tcPr>
          <w:p>
            <w:pPr>
              <w:jc w:val="left"/>
            </w:pPr>
            <w:r>
              <w:rPr>
                <w:rFonts w:ascii="Arial" w:cs="Arial" w:eastAsia="Arial" w:hAnsi="Arial"/>
                <w:b/>
                <w:bCs/>
                <w:i w:val="false"/>
                <w:iCs w:val="false"/>
                <w:color w:val="FFFFFF"/>
                <w:sz w:val="18"/>
                <w:szCs w:val="18"/>
              </w:rPr>
              <w:t xml:space="preserve">¿Competidor Directo o Indirecto?</w:t>
            </w:r>
          </w:p>
        </w:tc>
      </w:tr>
      <w:tr>
        <w:tc>
          <w:tcPr>
            <w:tcW w:type="dxa" w:w="17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1A1A1A"/>
                <w:sz w:val="18"/>
                <w:szCs w:val="18"/>
              </w:rPr>
              <w:t xml:space="preserve">Asana</w:t>
            </w:r>
          </w:p>
        </w:tc>
        <w:tc>
          <w:tcPr>
            <w:tcW w:type="dxa" w:w="15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1A1A1A"/>
                <w:sz w:val="18"/>
                <w:szCs w:val="18"/>
              </w:rPr>
              <w:t xml:space="preserve">Asana Inc. / EE.UU.</w:t>
            </w:r>
          </w:p>
        </w:tc>
        <w:tc>
          <w:tcPr>
            <w:tcW w:type="dxa" w:w="17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1A1A1A"/>
                <w:sz w:val="17"/>
                <w:szCs w:val="17"/>
              </w:rPr>
              <w:t xml:space="preserve">Gran variedad de vistas (tablero, línea de tiempo, calendario). Integraciones con Slack, Google Workspace y más de 200 herramientas.</w:t>
            </w:r>
          </w:p>
        </w:tc>
        <w:tc>
          <w:tcPr>
            <w:tcW w:type="dxa" w:w="17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1A1A1A"/>
                <w:sz w:val="17"/>
                <w:szCs w:val="17"/>
              </w:rPr>
              <w:t xml:space="preserve">Perfum Plus está diseñado exclusivamente para el comercio de perfumería: incluye retos de ventas, evaluación de turno y chatbot especializado. Sin costo, sin instalación y en español. Funciona desde el móvil sin necesidad de una cuenta externa.</w:t>
            </w:r>
          </w:p>
        </w:tc>
        <w:tc>
          <w:tcPr>
            <w:tcW w:type="dxa" w:w="276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1A1A1A"/>
                <w:sz w:val="18"/>
                <w:szCs w:val="18"/>
              </w:rPr>
              <w:t xml:space="preserve">Indirecto</w:t>
            </w:r>
          </w:p>
        </w:tc>
      </w:tr>
      <w:tr>
        <w:tc>
          <w:tcPr>
            <w:tcW w:type="dxa" w:w="17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1A1A1A"/>
                <w:sz w:val="18"/>
                <w:szCs w:val="18"/>
              </w:rPr>
              <w:t xml:space="preserve">Trello</w:t>
            </w:r>
          </w:p>
        </w:tc>
        <w:tc>
          <w:tcPr>
            <w:tcW w:type="dxa" w:w="15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1A1A1A"/>
                <w:sz w:val="18"/>
                <w:szCs w:val="18"/>
              </w:rPr>
              <w:t xml:space="preserve">Atlassian / EE.UU.</w:t>
            </w:r>
          </w:p>
        </w:tc>
        <w:tc>
          <w:tcPr>
            <w:tcW w:type="dxa" w:w="17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1A1A1A"/>
                <w:sz w:val="17"/>
                <w:szCs w:val="17"/>
              </w:rPr>
              <w:t xml:space="preserve">Interfaz Kanban visual e intuitiva. Plan gratuito disponible con funcionalidades básicas suficientes para equipos pequeños.</w:t>
            </w:r>
          </w:p>
        </w:tc>
        <w:tc>
          <w:tcPr>
            <w:tcW w:type="dxa" w:w="17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1A1A1A"/>
                <w:sz w:val="17"/>
                <w:szCs w:val="17"/>
              </w:rPr>
              <w:t xml:space="preserve">Perfum Plus incluye seguimiento del rendimiento individual, análisis histórico de desempeño y evaluación por parte del administrador, funcionalidades ausentes en Trello.</w:t>
            </w:r>
          </w:p>
        </w:tc>
        <w:tc>
          <w:tcPr>
            <w:tcW w:type="dxa" w:w="276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1A1A1A"/>
                <w:sz w:val="18"/>
                <w:szCs w:val="18"/>
              </w:rPr>
              <w:t xml:space="preserve">Indirecto</w:t>
            </w:r>
          </w:p>
        </w:tc>
      </w:tr>
      <w:tr>
        <w:tc>
          <w:tcPr>
            <w:tcW w:type="dxa" w:w="17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1A1A1A"/>
                <w:sz w:val="18"/>
                <w:szCs w:val="18"/>
              </w:rPr>
              <w:t xml:space="preserve">Monday.com</w:t>
            </w:r>
          </w:p>
        </w:tc>
        <w:tc>
          <w:tcPr>
            <w:tcW w:type="dxa" w:w="15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1A1A1A"/>
                <w:sz w:val="18"/>
                <w:szCs w:val="18"/>
              </w:rPr>
              <w:t xml:space="preserve">Monday.com Ltd. / Israel</w:t>
            </w:r>
          </w:p>
        </w:tc>
        <w:tc>
          <w:tcPr>
            <w:tcW w:type="dxa" w:w="17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1A1A1A"/>
                <w:sz w:val="17"/>
                <w:szCs w:val="17"/>
              </w:rPr>
              <w:t xml:space="preserve">Plataforma robusta con automatizaciones, informes avanzados y gestión de proyectos complejos para equipos grandes.</w:t>
            </w:r>
          </w:p>
        </w:tc>
        <w:tc>
          <w:tcPr>
            <w:tcW w:type="dxa" w:w="17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1A1A1A"/>
                <w:sz w:val="17"/>
                <w:szCs w:val="17"/>
              </w:rPr>
              <w:t xml:space="preserve">Perfum Plus no requiere suscripción de pago, está adaptada al pequeño negocio de 2 a 5 personas y no exige conocimientos técnicos previos para su uso.</w:t>
            </w:r>
          </w:p>
        </w:tc>
        <w:tc>
          <w:tcPr>
            <w:tcW w:type="dxa" w:w="276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1A1A1A"/>
                <w:sz w:val="18"/>
                <w:szCs w:val="18"/>
              </w:rPr>
              <w:t xml:space="preserve">Indirecto</w:t>
            </w:r>
          </w:p>
        </w:tc>
      </w:tr>
      <w:tr>
        <w:tc>
          <w:tcPr>
            <w:tcW w:type="dxa" w:w="17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1A1A1A"/>
                <w:sz w:val="18"/>
                <w:szCs w:val="18"/>
              </w:rPr>
              <w:t xml:space="preserve">WhatsApp (uso informal)</w:t>
            </w:r>
          </w:p>
        </w:tc>
        <w:tc>
          <w:tcPr>
            <w:tcW w:type="dxa" w:w="15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1A1A1A"/>
                <w:sz w:val="18"/>
                <w:szCs w:val="18"/>
              </w:rPr>
              <w:t xml:space="preserve">Meta / EE.UU.</w:t>
            </w:r>
          </w:p>
        </w:tc>
        <w:tc>
          <w:tcPr>
            <w:tcW w:type="dxa" w:w="17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1A1A1A"/>
                <w:sz w:val="17"/>
                <w:szCs w:val="17"/>
              </w:rPr>
              <w:t xml:space="preserve">Herramienta de comunicación ya conocida por todos los empleados. No requiere aprendizaje adicional.</w:t>
            </w:r>
          </w:p>
        </w:tc>
        <w:tc>
          <w:tcPr>
            <w:tcW w:type="dxa" w:w="17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1A1A1A"/>
                <w:sz w:val="17"/>
                <w:szCs w:val="17"/>
              </w:rPr>
              <w:t xml:space="preserve">Perfum Plus centraliza la asignación de tareas, el seguimiento del progreso y la evaluación de desempeño en una sola plataforma, eliminando la informalidad y la pérdida de información propia de los canales de mensajería.</w:t>
            </w:r>
          </w:p>
        </w:tc>
        <w:tc>
          <w:tcPr>
            <w:tcW w:type="dxa" w:w="276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1A1A1A"/>
                <w:sz w:val="18"/>
                <w:szCs w:val="18"/>
              </w:rPr>
              <w:t xml:space="preserve">Indirecto</w:t>
            </w:r>
          </w:p>
        </w:tc>
      </w:tr>
    </w:tbl>
    <w:p>
      <w:pPr>
        <w:spacing w:after="60" w:before="60"/>
      </w:pPr>
      <w:r>
        <w:t xml:space="preserve"/>
      </w:r>
    </w:p>
    <w:p>
      <w:pPr>
        <w:spacing w:after="60" w:before="60" w:line="276"/>
        <w:jc w:val="both"/>
      </w:pPr>
      <w:r>
        <w:rPr>
          <w:rFonts w:ascii="Arial" w:cs="Arial" w:eastAsia="Arial" w:hAnsi="Arial"/>
          <w:b w:val="false"/>
          <w:bCs w:val="false"/>
          <w:i w:val="false"/>
          <w:iCs w:val="false"/>
          <w:color w:val="1A1A1A"/>
          <w:sz w:val="20"/>
          <w:szCs w:val="20"/>
        </w:rPr>
        <w:t xml:space="preserve">En resumen, aunque existen herramientas robustas de gestión de tareas en el mercado, ninguna de ellas está diseñada específicamente para el comercio de perfumería ni para las necesidades de un equipo pequeño de entre 2 y 5 personas en un contexto de comercio minorista latinoamericano. Perfum Plus ocupa ese espacio con una solución específica, gratuita, ligera y orientada a resultados de negocio concretos.</w:t>
      </w:r>
    </w:p>
    <w:p>
      <w:pPr>
        <w:spacing w:after="60" w:before="60"/>
      </w:pPr>
      <w:r>
        <w:t xml:space="preserve"/>
      </w:r>
    </w:p>
    <w:p>
      <w:pPr>
        <w:pBdr>
          <w:top w:val="single" w:color="7B5E2A" w:sz="8" w:space="0"/>
        </w:pBdr>
        <w:shd w:fill="1F3864" w:val="clear"/>
        <w:spacing w:after="100" w:before="220"/>
        <w:ind w:left="120" w:right="120"/>
      </w:pPr>
      <w:r>
        <w:rPr>
          <w:rFonts w:ascii="Arial" w:cs="Arial" w:eastAsia="Arial" w:hAnsi="Arial"/>
          <w:b/>
          <w:bCs/>
          <w:color w:val="FFFFFF"/>
          <w:sz w:val="22"/>
          <w:szCs w:val="22"/>
        </w:rPr>
        <w:t xml:space="preserve">4. Marco Legal y Ético</w:t>
      </w:r>
    </w:p>
    <w:p>
      <w:pPr>
        <w:spacing w:after="60" w:before="60"/>
      </w:pPr>
      <w:r>
        <w:t xml:space="preserve"/>
      </w:r>
    </w:p>
    <w:p>
      <w:pPr>
        <w:spacing w:after="60" w:before="60" w:line="276"/>
        <w:jc w:val="both"/>
      </w:pPr>
      <w:r>
        <w:rPr>
          <w:rFonts w:ascii="Arial" w:cs="Arial" w:eastAsia="Arial" w:hAnsi="Arial"/>
          <w:b w:val="false"/>
          <w:bCs w:val="false"/>
          <w:i w:val="false"/>
          <w:iCs w:val="false"/>
          <w:color w:val="1A1A1A"/>
          <w:sz w:val="20"/>
          <w:szCs w:val="20"/>
        </w:rPr>
        <w:t xml:space="preserve">El desarrollo y uso de la aplicación Perfum Plus en Colombia está regulado por el siguiente marco normativo, que condiciona el tratamiento de la información personal de los colaboradores, la seguridad de los datos almacenados y el uso de tecnologías de la información en el ámbito laboral:</w:t>
      </w:r>
    </w:p>
    <w:p>
      <w:pPr>
        <w:spacing w:after="60" w:before="60"/>
      </w:pPr>
      <w:r>
        <w:t xml:space="preserve"/>
      </w:r>
    </w:p>
    <w:p>
      <w:pPr>
        <w:spacing w:after="60" w:before="60" w:line="276"/>
        <w:jc w:val="both"/>
      </w:pPr>
      <w:r>
        <w:rPr>
          <w:rFonts w:ascii="Arial" w:cs="Arial" w:eastAsia="Arial" w:hAnsi="Arial"/>
          <w:b/>
          <w:bCs/>
          <w:sz w:val="20"/>
          <w:szCs w:val="20"/>
        </w:rPr>
        <w:t xml:space="preserve">Ley 1581 de 2012 — Protección de Datos Personales: </w:t>
      </w:r>
      <w:r>
        <w:rPr>
          <w:rFonts w:ascii="Arial" w:cs="Arial" w:eastAsia="Arial" w:hAnsi="Arial"/>
          <w:sz w:val="20"/>
          <w:szCs w:val="20"/>
        </w:rPr>
        <w:t xml:space="preserve">Esta ley, conocida como la Ley de Habeas Data, regula el tratamiento de los datos personales de los colaboradores registrados en la aplicación (nombres, identificaciones, historial de desempeño). Exige que el titular de los datos conozca y consienta su recolección y uso.</w:t>
      </w:r>
    </w:p>
    <w:p>
      <w:pPr>
        <w:spacing w:after="60" w:before="60" w:line="276"/>
        <w:jc w:val="both"/>
      </w:pPr>
      <w:r>
        <w:rPr>
          <w:rFonts w:ascii="Arial" w:cs="Arial" w:eastAsia="Arial" w:hAnsi="Arial"/>
          <w:b/>
          <w:bCs/>
          <w:sz w:val="20"/>
          <w:szCs w:val="20"/>
        </w:rPr>
        <w:t xml:space="preserve">Decreto 1377 de 2013: </w:t>
      </w:r>
      <w:r>
        <w:rPr>
          <w:rFonts w:ascii="Arial" w:cs="Arial" w:eastAsia="Arial" w:hAnsi="Arial"/>
          <w:sz w:val="20"/>
          <w:szCs w:val="20"/>
        </w:rPr>
        <w:t xml:space="preserve">Reglamenta parcialmente la Ley 1581 de 2012 y establece los mecanismos para obtener la autorización de los titulares de datos personales, así como las políticas de tratamiento de la información que debe adoptar el responsable.</w:t>
      </w:r>
    </w:p>
    <w:p>
      <w:pPr>
        <w:spacing w:after="60" w:before="60" w:line="276"/>
        <w:jc w:val="both"/>
      </w:pPr>
      <w:r>
        <w:rPr>
          <w:rFonts w:ascii="Arial" w:cs="Arial" w:eastAsia="Arial" w:hAnsi="Arial"/>
          <w:b/>
          <w:bCs/>
          <w:sz w:val="20"/>
          <w:szCs w:val="20"/>
        </w:rPr>
        <w:t xml:space="preserve">Ley 1273 de 2009 — Delitos Informáticos: </w:t>
      </w:r>
      <w:r>
        <w:rPr>
          <w:rFonts w:ascii="Arial" w:cs="Arial" w:eastAsia="Arial" w:hAnsi="Arial"/>
          <w:sz w:val="20"/>
          <w:szCs w:val="20"/>
        </w:rPr>
        <w:t xml:space="preserve">Define y sanciona conductas relacionadas con la vulneración de la confidencialidad, integridad y disponibilidad de los datos y los sistemas informáticos. Esta ley es relevante en tanto que el acceso no autorizado al panel del CEO o la manipulación de datos de desempeño constituirían conductas sancionables bajo esta normativa.</w:t>
      </w:r>
    </w:p>
    <w:p>
      <w:pPr>
        <w:spacing w:after="60" w:before="60" w:line="276"/>
        <w:jc w:val="both"/>
      </w:pPr>
      <w:r>
        <w:rPr>
          <w:rFonts w:ascii="Arial" w:cs="Arial" w:eastAsia="Arial" w:hAnsi="Arial"/>
          <w:b/>
          <w:bCs/>
          <w:sz w:val="20"/>
          <w:szCs w:val="20"/>
        </w:rPr>
        <w:t xml:space="preserve">Ley 527 de 1999 — Comercio Electrónico: </w:t>
      </w:r>
      <w:r>
        <w:rPr>
          <w:rFonts w:ascii="Arial" w:cs="Arial" w:eastAsia="Arial" w:hAnsi="Arial"/>
          <w:sz w:val="20"/>
          <w:szCs w:val="20"/>
        </w:rPr>
        <w:t xml:space="preserve">Regula el acceso y uso de mensajes de datos, el comercio electrónico y la validez jurídica de los documentos electrónicos en Colombia. Aplica en tanto que la aplicación transmite y almacena información en formato digital.</w:t>
      </w:r>
    </w:p>
    <w:p>
      <w:pPr>
        <w:spacing w:after="60" w:before="60" w:line="276"/>
        <w:jc w:val="both"/>
      </w:pPr>
      <w:r>
        <w:rPr>
          <w:rFonts w:ascii="Arial" w:cs="Arial" w:eastAsia="Arial" w:hAnsi="Arial"/>
          <w:b/>
          <w:bCs/>
          <w:sz w:val="20"/>
          <w:szCs w:val="20"/>
        </w:rPr>
        <w:t xml:space="preserve">Código Sustantivo del Trabajo — Artículos sobre vigilancia y control laboral: </w:t>
      </w:r>
      <w:r>
        <w:rPr>
          <w:rFonts w:ascii="Arial" w:cs="Arial" w:eastAsia="Arial" w:hAnsi="Arial"/>
          <w:sz w:val="20"/>
          <w:szCs w:val="20"/>
        </w:rPr>
        <w:t xml:space="preserve">El uso de herramientas de seguimiento de desempeño laboral debe enmarcarse dentro de los límites legales que protegen la dignidad e intimidad del trabajador. El sistema de evaluación implementado en Perfum Plus es transparente para ambas partes y no implica vigilancia encubierta.</w:t>
      </w:r>
    </w:p>
    <w:p>
      <w:pPr>
        <w:spacing w:after="60" w:before="60"/>
      </w:pPr>
      <w:r>
        <w:t xml:space="preserve"/>
      </w:r>
    </w:p>
    <w:p>
      <w:pPr>
        <w:spacing w:after="60" w:before="60" w:line="276"/>
        <w:jc w:val="both"/>
      </w:pPr>
      <w:r>
        <w:rPr>
          <w:rFonts w:ascii="Arial" w:cs="Arial" w:eastAsia="Arial" w:hAnsi="Arial"/>
          <w:b/>
          <w:bCs/>
          <w:sz w:val="20"/>
          <w:szCs w:val="20"/>
        </w:rPr>
        <w:t xml:space="preserve">Consideración ética: </w:t>
      </w:r>
      <w:r>
        <w:rPr>
          <w:rFonts w:ascii="Arial" w:cs="Arial" w:eastAsia="Arial" w:hAnsi="Arial"/>
          <w:sz w:val="20"/>
          <w:szCs w:val="20"/>
        </w:rPr>
        <w:t xml:space="preserve">El sistema de calificación de turno y seguimiento de tareas debe ser utilizado por el administrador como una herramienta de mejora continua y reconocimiento, no como mecanismo de control punitivo. Se recomienda socializar el funcionamiento de la aplicación con todos los colaboradores antes de su implementación, garantizando transparencia y construyendo confianza en el equipo.</w:t>
      </w:r>
    </w:p>
    <w:p>
      <w:r>
        <w:br w:type="page"/>
      </w:r>
    </w:p>
    <w:p>
      <w:pPr>
        <w:pBdr>
          <w:top w:val="single" w:color="7B5E2A" w:sz="8" w:space="0"/>
        </w:pBdr>
        <w:shd w:fill="1F3864" w:val="clear"/>
        <w:spacing w:after="100" w:before="220"/>
        <w:ind w:left="120" w:right="120"/>
      </w:pPr>
      <w:r>
        <w:rPr>
          <w:rFonts w:ascii="Arial" w:cs="Arial" w:eastAsia="Arial" w:hAnsi="Arial"/>
          <w:b/>
          <w:bCs/>
          <w:color w:val="FFFFFF"/>
          <w:sz w:val="22"/>
          <w:szCs w:val="22"/>
        </w:rPr>
        <w:t xml:space="preserve">5. Análisis de Riesgos</w:t>
      </w:r>
    </w:p>
    <w:p>
      <w:pPr>
        <w:spacing w:after="60" w:before="60"/>
      </w:pPr>
      <w:r>
        <w:t xml:space="preserve"/>
      </w:r>
    </w:p>
    <w:p>
      <w:pPr>
        <w:spacing w:after="60" w:before="60" w:line="276"/>
        <w:jc w:val="both"/>
      </w:pPr>
      <w:r>
        <w:rPr>
          <w:rFonts w:ascii="Arial" w:cs="Arial" w:eastAsia="Arial" w:hAnsi="Arial"/>
          <w:b w:val="false"/>
          <w:bCs w:val="false"/>
          <w:i w:val="false"/>
          <w:iCs w:val="false"/>
          <w:color w:val="1A1A1A"/>
          <w:sz w:val="20"/>
          <w:szCs w:val="20"/>
        </w:rPr>
        <w:t xml:space="preserve">El propósito de este apartado es identificar, abordar y mitigar elementos de riesgo antes de que se conviertan en una amenaza para la ejecución exitosa del proyecto y el logro de los objetivos planteados. Se identificaron los siguientes riesgos principales: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0"/>
        <w:gridCol w:w="1750"/>
        <w:gridCol w:w="2000"/>
        <w:gridCol w:w="1860"/>
        <w:gridCol w:w="2000"/>
      </w:tblGrid>
      <w:tr>
        <w:tc>
          <w:tcPr>
            <w:tcW w:type="dxa" w:w="1750"/>
            <w:tcBorders>
              <w:top w:val="single" w:color="B0B0B0" w:sz="4"/>
              <w:left w:val="single" w:color="B0B0B0" w:sz="4"/>
              <w:bottom w:val="single" w:color="B0B0B0" w:sz="4"/>
              <w:right w:val="single" w:color="B0B0B0" w:sz="4"/>
            </w:tcBorders>
            <w:shd w:fill="1F3864" w:val="clear"/>
            <w:tcMar>
              <w:top w:type="dxa" w:w="60"/>
              <w:left w:type="dxa" w:w="100"/>
              <w:bottom w:type="dxa" w:w="60"/>
              <w:right w:type="dxa" w:w="100"/>
            </w:tcMar>
            <w:vAlign w:val="center"/>
          </w:tcPr>
          <w:p>
            <w:pPr>
              <w:jc w:val="left"/>
            </w:pPr>
            <w:r>
              <w:rPr>
                <w:rFonts w:ascii="Arial" w:cs="Arial" w:eastAsia="Arial" w:hAnsi="Arial"/>
                <w:b/>
                <w:bCs/>
                <w:i w:val="false"/>
                <w:iCs w:val="false"/>
                <w:color w:val="FFFFFF"/>
                <w:sz w:val="18"/>
                <w:szCs w:val="18"/>
              </w:rPr>
              <w:t xml:space="preserve">¿Qué podría suceder?</w:t>
            </w:r>
          </w:p>
        </w:tc>
        <w:tc>
          <w:tcPr>
            <w:tcW w:type="dxa" w:w="1750"/>
            <w:tcBorders>
              <w:top w:val="single" w:color="B0B0B0" w:sz="4"/>
              <w:left w:val="single" w:color="B0B0B0" w:sz="4"/>
              <w:bottom w:val="single" w:color="B0B0B0" w:sz="4"/>
              <w:right w:val="single" w:color="B0B0B0" w:sz="4"/>
            </w:tcBorders>
            <w:shd w:fill="1F3864" w:val="clear"/>
            <w:tcMar>
              <w:top w:type="dxa" w:w="60"/>
              <w:left w:type="dxa" w:w="100"/>
              <w:bottom w:type="dxa" w:w="60"/>
              <w:right w:type="dxa" w:w="100"/>
            </w:tcMar>
            <w:vAlign w:val="center"/>
          </w:tcPr>
          <w:p>
            <w:pPr>
              <w:jc w:val="left"/>
            </w:pPr>
            <w:r>
              <w:rPr>
                <w:rFonts w:ascii="Arial" w:cs="Arial" w:eastAsia="Arial" w:hAnsi="Arial"/>
                <w:b/>
                <w:bCs/>
                <w:i w:val="false"/>
                <w:iCs w:val="false"/>
                <w:color w:val="FFFFFF"/>
                <w:sz w:val="18"/>
                <w:szCs w:val="18"/>
              </w:rPr>
              <w:t xml:space="preserve">¿Cuál sería el efecto / impacto en los objetivos?</w:t>
            </w:r>
          </w:p>
        </w:tc>
        <w:tc>
          <w:tcPr>
            <w:tcW w:type="dxa" w:w="2000"/>
            <w:tcBorders>
              <w:top w:val="single" w:color="B0B0B0" w:sz="4"/>
              <w:left w:val="single" w:color="B0B0B0" w:sz="4"/>
              <w:bottom w:val="single" w:color="B0B0B0" w:sz="4"/>
              <w:right w:val="single" w:color="B0B0B0" w:sz="4"/>
            </w:tcBorders>
            <w:shd w:fill="1F3864" w:val="clear"/>
            <w:tcMar>
              <w:top w:type="dxa" w:w="60"/>
              <w:left w:type="dxa" w:w="100"/>
              <w:bottom w:type="dxa" w:w="60"/>
              <w:right w:type="dxa" w:w="100"/>
            </w:tcMar>
            <w:vAlign w:val="center"/>
          </w:tcPr>
          <w:p>
            <w:pPr>
              <w:jc w:val="left"/>
            </w:pPr>
            <w:r>
              <w:rPr>
                <w:rFonts w:ascii="Arial" w:cs="Arial" w:eastAsia="Arial" w:hAnsi="Arial"/>
                <w:b/>
                <w:bCs/>
                <w:i w:val="false"/>
                <w:iCs w:val="false"/>
                <w:color w:val="FFFFFF"/>
                <w:sz w:val="18"/>
                <w:szCs w:val="18"/>
              </w:rPr>
              <w:t xml:space="preserve">¿Cuándo, dónde, por qué y cuál es la probabilidad de ocurrencia?</w:t>
            </w:r>
          </w:p>
        </w:tc>
        <w:tc>
          <w:tcPr>
            <w:tcW w:type="dxa" w:w="1860"/>
            <w:tcBorders>
              <w:top w:val="single" w:color="B0B0B0" w:sz="4"/>
              <w:left w:val="single" w:color="B0B0B0" w:sz="4"/>
              <w:bottom w:val="single" w:color="B0B0B0" w:sz="4"/>
              <w:right w:val="single" w:color="B0B0B0" w:sz="4"/>
            </w:tcBorders>
            <w:shd w:fill="1F3864" w:val="clear"/>
            <w:tcMar>
              <w:top w:type="dxa" w:w="60"/>
              <w:left w:type="dxa" w:w="100"/>
              <w:bottom w:type="dxa" w:w="60"/>
              <w:right w:type="dxa" w:w="100"/>
            </w:tcMar>
            <w:vAlign w:val="center"/>
          </w:tcPr>
          <w:p>
            <w:pPr>
              <w:jc w:val="left"/>
            </w:pPr>
            <w:r>
              <w:rPr>
                <w:rFonts w:ascii="Arial" w:cs="Arial" w:eastAsia="Arial" w:hAnsi="Arial"/>
                <w:b/>
                <w:bCs/>
                <w:i w:val="false"/>
                <w:iCs w:val="false"/>
                <w:color w:val="FFFFFF"/>
                <w:sz w:val="18"/>
                <w:szCs w:val="18"/>
              </w:rPr>
              <w:t xml:space="preserve">¿Quién puede estar involucrado o impactado?</w:t>
            </w:r>
          </w:p>
        </w:tc>
        <w:tc>
          <w:tcPr>
            <w:tcW w:type="dxa" w:w="2000"/>
            <w:tcBorders>
              <w:top w:val="single" w:color="B0B0B0" w:sz="4"/>
              <w:left w:val="single" w:color="B0B0B0" w:sz="4"/>
              <w:bottom w:val="single" w:color="B0B0B0" w:sz="4"/>
              <w:right w:val="single" w:color="B0B0B0" w:sz="4"/>
            </w:tcBorders>
            <w:shd w:fill="1F3864" w:val="clear"/>
            <w:tcMar>
              <w:top w:type="dxa" w:w="60"/>
              <w:left w:type="dxa" w:w="100"/>
              <w:bottom w:type="dxa" w:w="60"/>
              <w:right w:type="dxa" w:w="100"/>
            </w:tcMar>
            <w:vAlign w:val="center"/>
          </w:tcPr>
          <w:p>
            <w:pPr>
              <w:jc w:val="left"/>
            </w:pPr>
            <w:r>
              <w:rPr>
                <w:rFonts w:ascii="Arial" w:cs="Arial" w:eastAsia="Arial" w:hAnsi="Arial"/>
                <w:b/>
                <w:bCs/>
                <w:i w:val="false"/>
                <w:iCs w:val="false"/>
                <w:color w:val="FFFFFF"/>
                <w:sz w:val="18"/>
                <w:szCs w:val="18"/>
              </w:rPr>
              <w:t xml:space="preserve">¿Cuál puede ser la fuente del riesgo?</w:t>
            </w:r>
          </w:p>
        </w:tc>
      </w:tr>
      <w:tr>
        <w:tc>
          <w:tcPr>
            <w:tcW w:type="dxa" w:w="175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1A1A1A"/>
                <w:sz w:val="17"/>
                <w:szCs w:val="17"/>
              </w:rPr>
              <w:t xml:space="preserve">Pérdida de datos históricos por limpieza del caché del navegador.</w:t>
            </w:r>
          </w:p>
        </w:tc>
        <w:tc>
          <w:tcPr>
            <w:tcW w:type="dxa" w:w="175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1A1A1A"/>
                <w:sz w:val="17"/>
                <w:szCs w:val="17"/>
              </w:rPr>
              <w:t xml:space="preserve">Se pierden los registros de desempeño, calificaciones y tareas de todos los colaboradores, inutilizando el módulo de análisis.</w:t>
            </w:r>
          </w:p>
        </w:tc>
        <w:tc>
          <w:tcPr>
            <w:tcW w:type="dxa" w:w="20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1A1A1A"/>
                <w:sz w:val="17"/>
                <w:szCs w:val="17"/>
              </w:rPr>
              <w:t xml:space="preserve">Puede ocurrir en cualquier momento si el usuario actualiza el navegador o limpia el almacenamiento. Probabilidad: Media. Impacto: Alto.</w:t>
            </w:r>
          </w:p>
        </w:tc>
        <w:tc>
          <w:tcPr>
            <w:tcW w:type="dxa" w:w="186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1A1A1A"/>
                <w:sz w:val="17"/>
                <w:szCs w:val="17"/>
              </w:rPr>
              <w:t xml:space="preserve">CEO y colaboradores de Perfum Plus.</w:t>
            </w:r>
          </w:p>
        </w:tc>
        <w:tc>
          <w:tcPr>
            <w:tcW w:type="dxa" w:w="20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1A1A1A"/>
                <w:sz w:val="17"/>
                <w:szCs w:val="17"/>
              </w:rPr>
              <w:t xml:space="preserve">Decisión técnica: uso de localStorage sin respaldo en servidor externo. (Complejidad tecnológica)</w:t>
            </w:r>
          </w:p>
        </w:tc>
      </w:tr>
      <w:tr>
        <w:tc>
          <w:tcPr>
            <w:tcW w:type="dxa" w:w="175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1A1A1A"/>
                <w:sz w:val="17"/>
                <w:szCs w:val="17"/>
              </w:rPr>
              <w:t xml:space="preserve">Acceso no autorizado al panel del CEO por exposición de la contraseña en el código fuente.</w:t>
            </w:r>
          </w:p>
        </w:tc>
        <w:tc>
          <w:tcPr>
            <w:tcW w:type="dxa" w:w="175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1A1A1A"/>
                <w:sz w:val="17"/>
                <w:szCs w:val="17"/>
              </w:rPr>
              <w:t xml:space="preserve">Un colaborador podría acceder al panel del CEO, ver evaluaciones, modificar configuraciones y comprometer la privacidad del equipo.</w:t>
            </w:r>
          </w:p>
        </w:tc>
        <w:tc>
          <w:tcPr>
            <w:tcW w:type="dxa" w:w="20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1A1A1A"/>
                <w:sz w:val="17"/>
                <w:szCs w:val="17"/>
              </w:rPr>
              <w:t xml:space="preserve">Puede ocurrir si un colaborador inspecciona el código JavaScript desde el navegador. Probabilidad: Media. Impacto: Alto.</w:t>
            </w:r>
          </w:p>
        </w:tc>
        <w:tc>
          <w:tcPr>
            <w:tcW w:type="dxa" w:w="186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1A1A1A"/>
                <w:sz w:val="17"/>
                <w:szCs w:val="17"/>
              </w:rPr>
              <w:t xml:space="preserve">CEO, colaboradores y la integridad de la información del negocio.</w:t>
            </w:r>
          </w:p>
        </w:tc>
        <w:tc>
          <w:tcPr>
            <w:tcW w:type="dxa" w:w="20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1A1A1A"/>
                <w:sz w:val="17"/>
                <w:szCs w:val="17"/>
              </w:rPr>
              <w:t xml:space="preserve">Seguridad insuficiente en la arquitectura actual. (Complejidad tecnológica)</w:t>
            </w:r>
          </w:p>
        </w:tc>
      </w:tr>
      <w:tr>
        <w:tc>
          <w:tcPr>
            <w:tcW w:type="dxa" w:w="175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1A1A1A"/>
                <w:sz w:val="17"/>
                <w:szCs w:val="17"/>
              </w:rPr>
              <w:t xml:space="preserve">Resistencia al cambio por parte de los colaboradores en la adopción de la herramienta.</w:t>
            </w:r>
          </w:p>
        </w:tc>
        <w:tc>
          <w:tcPr>
            <w:tcW w:type="dxa" w:w="175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1A1A1A"/>
                <w:sz w:val="17"/>
                <w:szCs w:val="17"/>
              </w:rPr>
              <w:t xml:space="preserve">La app no logra integrarse al flujo de trabajo diario, reduciendo su impacto real en la productividad del equipo.</w:t>
            </w:r>
          </w:p>
        </w:tc>
        <w:tc>
          <w:tcPr>
            <w:tcW w:type="dxa" w:w="20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1A1A1A"/>
                <w:sz w:val="17"/>
                <w:szCs w:val="17"/>
              </w:rPr>
              <w:t xml:space="preserve">Durante las primeras semanas de implementación. Si los colaboradores perciben la app como vigilancia excesiva. Probabilidad: Baja. Impacto: Medio.</w:t>
            </w:r>
          </w:p>
        </w:tc>
        <w:tc>
          <w:tcPr>
            <w:tcW w:type="dxa" w:w="186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1A1A1A"/>
                <w:sz w:val="17"/>
                <w:szCs w:val="17"/>
              </w:rPr>
              <w:t xml:space="preserve">Colaboradores (Marlon, Ingrid, Isabella) y el CEO.</w:t>
            </w:r>
          </w:p>
        </w:tc>
        <w:tc>
          <w:tcPr>
            <w:tcW w:type="dxa" w:w="20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1A1A1A"/>
                <w:sz w:val="17"/>
                <w:szCs w:val="17"/>
              </w:rPr>
              <w:t xml:space="preserve">Factor humano: falta de apertura al cambio y de capacitación inicial. (Usuarios)</w:t>
            </w:r>
          </w:p>
        </w:tc>
      </w:tr>
      <w:tr>
        <w:tc>
          <w:tcPr>
            <w:tcW w:type="dxa" w:w="175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1A1A1A"/>
                <w:sz w:val="17"/>
                <w:szCs w:val="17"/>
              </w:rPr>
              <w:t xml:space="preserve">Cambio en la estructura del equipo (nuevos empleados o retiro de colaboradores existentes).</w:t>
            </w:r>
          </w:p>
        </w:tc>
        <w:tc>
          <w:tcPr>
            <w:tcW w:type="dxa" w:w="175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1A1A1A"/>
                <w:sz w:val="17"/>
                <w:szCs w:val="17"/>
              </w:rPr>
              <w:t xml:space="preserve">La app tiene nombres de colaboradores codificados directamente, lo que requiere modificar el código fuente para agregar o eliminar usuarios.</w:t>
            </w:r>
          </w:p>
        </w:tc>
        <w:tc>
          <w:tcPr>
            <w:tcW w:type="dxa" w:w="20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1A1A1A"/>
                <w:sz w:val="17"/>
                <w:szCs w:val="17"/>
              </w:rPr>
              <w:t xml:space="preserve">Puede ocurrir en cualquier momento por rotación natural del personal. Probabilidad: Alta. Impacto: Medio.</w:t>
            </w:r>
          </w:p>
        </w:tc>
        <w:tc>
          <w:tcPr>
            <w:tcW w:type="dxa" w:w="186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1A1A1A"/>
                <w:sz w:val="17"/>
                <w:szCs w:val="17"/>
              </w:rPr>
              <w:t xml:space="preserve">CEO y el desarrollador del proyecto.</w:t>
            </w:r>
          </w:p>
        </w:tc>
        <w:tc>
          <w:tcPr>
            <w:tcW w:type="dxa" w:w="20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1A1A1A"/>
                <w:sz w:val="17"/>
                <w:szCs w:val="17"/>
              </w:rPr>
              <w:t xml:space="preserve">Planificación técnica insuficiente para escalabilidad. (Requerimientos)</w:t>
            </w:r>
          </w:p>
        </w:tc>
      </w:tr>
    </w:tbl>
    <w:p>
      <w:pPr>
        <w:spacing w:after="60" w:before="60"/>
      </w:pPr>
      <w:r>
        <w:t xml:space="preserve"/>
      </w:r>
    </w:p>
    <w:p>
      <w:pPr>
        <w:pBdr>
          <w:top w:val="single" w:color="7B5E2A" w:sz="8" w:space="0"/>
        </w:pBdr>
        <w:shd w:fill="1F3864" w:val="clear"/>
        <w:spacing w:after="100" w:before="220"/>
        <w:ind w:left="120" w:right="120"/>
      </w:pPr>
      <w:r>
        <w:rPr>
          <w:rFonts w:ascii="Arial" w:cs="Arial" w:eastAsia="Arial" w:hAnsi="Arial"/>
          <w:b/>
          <w:bCs/>
          <w:color w:val="FFFFFF"/>
          <w:sz w:val="22"/>
          <w:szCs w:val="22"/>
        </w:rPr>
        <w:t xml:space="preserve">6. Objetivos</w:t>
      </w:r>
    </w:p>
    <w:p>
      <w:pPr>
        <w:spacing w:after="60" w:before="60"/>
      </w:pPr>
      <w:r>
        <w:t xml:space="preserve"/>
      </w:r>
    </w:p>
    <w:p>
      <w:pPr>
        <w:spacing w:after="60" w:before="80" w:line="276"/>
        <w:jc w:val="both"/>
      </w:pPr>
      <w:r>
        <w:rPr>
          <w:rFonts w:ascii="Arial" w:cs="Arial" w:eastAsia="Arial" w:hAnsi="Arial"/>
          <w:b/>
          <w:bCs/>
          <w:sz w:val="21"/>
          <w:szCs w:val="21"/>
        </w:rPr>
        <w:t xml:space="preserve">Objetivo General:</w:t>
      </w:r>
    </w:p>
    <w:p>
      <w:pPr>
        <w:spacing w:after="60" w:before="60" w:line="276"/>
        <w:jc w:val="both"/>
      </w:pPr>
      <w:r>
        <w:rPr>
          <w:rFonts w:ascii="Arial" w:cs="Arial" w:eastAsia="Arial" w:hAnsi="Arial"/>
          <w:b w:val="false"/>
          <w:bCs w:val="false"/>
          <w:i w:val="false"/>
          <w:iCs w:val="false"/>
          <w:color w:val="1A1A1A"/>
          <w:sz w:val="20"/>
          <w:szCs w:val="20"/>
        </w:rPr>
        <w:t xml:space="preserve">Desarrollar una aplicación web de gestión de tareas y seguimiento de desempeño laboral para el equipo de trabajo de Perfum Plus, que permita al administrador asignar, monitorear y evaluar las actividades diarias de los colaboradores, y que proporcione datos históricos para la toma de decisiones estratégicas en el negocio.</w:t>
      </w:r>
    </w:p>
    <w:p>
      <w:pPr>
        <w:spacing w:after="60" w:before="60"/>
      </w:pPr>
      <w:r>
        <w:t xml:space="preserve"/>
      </w:r>
    </w:p>
    <w:p>
      <w:pPr>
        <w:spacing w:after="60" w:before="80" w:line="276"/>
        <w:jc w:val="both"/>
      </w:pPr>
      <w:r>
        <w:rPr>
          <w:rFonts w:ascii="Arial" w:cs="Arial" w:eastAsia="Arial" w:hAnsi="Arial"/>
          <w:b/>
          <w:bCs/>
          <w:sz w:val="21"/>
          <w:szCs w:val="21"/>
        </w:rPr>
        <w:t xml:space="preserve">Objetivos Específicos:</w:t>
      </w:r>
    </w:p>
    <w:p>
      <w:pPr>
        <w:pStyle w:val="ListParagraph"/>
        <w:numPr>
          <w:ilvl w:val="0"/>
          <w:numId w:val="2"/>
        </w:numPr>
        <w:spacing w:after="60" w:before="60" w:line="276"/>
        <w:jc w:val="both"/>
      </w:pPr>
      <w:r>
        <w:rPr>
          <w:rFonts w:ascii="Arial" w:cs="Arial" w:eastAsia="Arial" w:hAnsi="Arial"/>
          <w:b w:val="false"/>
          <w:bCs w:val="false"/>
          <w:i w:val="false"/>
          <w:iCs w:val="false"/>
          <w:color w:val="1A1A1A"/>
          <w:sz w:val="20"/>
          <w:szCs w:val="20"/>
        </w:rPr>
        <w:t xml:space="preserve">Diseñar e implementar interfaces diferenciadas para dos roles de usuario (CEO y Colaborador), garantizando una experiencia intuitiva y adaptada a las necesidades específicas de cada perfil.</w:t>
      </w:r>
    </w:p>
    <w:p>
      <w:pPr>
        <w:pStyle w:val="ListParagraph"/>
        <w:numPr>
          <w:ilvl w:val="0"/>
          <w:numId w:val="2"/>
        </w:numPr>
        <w:spacing w:after="60" w:before="60" w:line="276"/>
        <w:jc w:val="both"/>
      </w:pPr>
      <w:r>
        <w:rPr>
          <w:rFonts w:ascii="Arial" w:cs="Arial" w:eastAsia="Arial" w:hAnsi="Arial"/>
          <w:b w:val="false"/>
          <w:bCs w:val="false"/>
          <w:i w:val="false"/>
          <w:iCs w:val="false"/>
          <w:color w:val="1A1A1A"/>
          <w:sz w:val="20"/>
          <w:szCs w:val="20"/>
        </w:rPr>
        <w:t xml:space="preserve">Desarrollar un módulo de seguimiento de progreso diario que permita a cada colaborador registrar el estado de sus tareas en tiempo real, con indicadores visuales de avance y notas de seguimiento.</w:t>
      </w:r>
    </w:p>
    <w:p>
      <w:pPr>
        <w:pStyle w:val="ListParagraph"/>
        <w:numPr>
          <w:ilvl w:val="0"/>
          <w:numId w:val="2"/>
        </w:numPr>
        <w:spacing w:after="60" w:before="60" w:line="276"/>
        <w:jc w:val="both"/>
      </w:pPr>
      <w:r>
        <w:rPr>
          <w:rFonts w:ascii="Arial" w:cs="Arial" w:eastAsia="Arial" w:hAnsi="Arial"/>
          <w:b w:val="false"/>
          <w:bCs w:val="false"/>
          <w:i w:val="false"/>
          <w:iCs w:val="false"/>
          <w:color w:val="1A1A1A"/>
          <w:sz w:val="20"/>
          <w:szCs w:val="20"/>
        </w:rPr>
        <w:t xml:space="preserve">Crear un dashboard analítico para el CEO que incluya indicadores clave de desempeño (KPIs), gráficas comparativas por colaborador, análisis de consistencia y reportes históricos de rendimiento por semana y por mes.</w:t>
      </w:r>
    </w:p>
    <w:p>
      <w:pPr>
        <w:pStyle w:val="ListParagraph"/>
        <w:numPr>
          <w:ilvl w:val="0"/>
          <w:numId w:val="2"/>
        </w:numPr>
        <w:spacing w:after="60" w:before="60" w:line="276"/>
        <w:jc w:val="both"/>
      </w:pPr>
      <w:r>
        <w:rPr>
          <w:rFonts w:ascii="Arial" w:cs="Arial" w:eastAsia="Arial" w:hAnsi="Arial"/>
          <w:b w:val="false"/>
          <w:bCs w:val="false"/>
          <w:i w:val="false"/>
          <w:iCs w:val="false"/>
          <w:color w:val="1A1A1A"/>
          <w:sz w:val="20"/>
          <w:szCs w:val="20"/>
        </w:rPr>
        <w:t xml:space="preserve">Implementar un sistema de asignación de tareas que incluya tareas base configurables por categoría, tareas personalizadas de alta prioridad, plantillas reutilizables y un motor de retos diarios motivacionales adaptado a los eventos comerciales del calendario.</w:t>
      </w:r>
    </w:p>
    <w:p>
      <w:pPr>
        <w:pStyle w:val="ListParagraph"/>
        <w:numPr>
          <w:ilvl w:val="0"/>
          <w:numId w:val="2"/>
        </w:numPr>
        <w:spacing w:after="60" w:before="60" w:line="276"/>
        <w:jc w:val="both"/>
      </w:pPr>
      <w:r>
        <w:rPr>
          <w:rFonts w:ascii="Arial" w:cs="Arial" w:eastAsia="Arial" w:hAnsi="Arial"/>
          <w:b w:val="false"/>
          <w:bCs w:val="false"/>
          <w:i w:val="false"/>
          <w:iCs w:val="false"/>
          <w:color w:val="1A1A1A"/>
          <w:sz w:val="20"/>
          <w:szCs w:val="20"/>
        </w:rPr>
        <w:t xml:space="preserve">Integrar un asistente virtual (chatbot de IA) dentro de la plataforma del colaborador, que brinde orientación personalizada sobre las tareas pendientes, el progreso del turno y estrategias de mejora del desempeño.</w:t>
      </w:r>
    </w:p>
    <w:p>
      <w:pPr>
        <w:spacing w:after="60" w:before="60"/>
      </w:pPr>
      <w:r>
        <w:t xml:space="preserve"/>
      </w:r>
    </w:p>
    <w:p>
      <w:r>
        <w:br w:type="page"/>
      </w:r>
    </w:p>
    <w:p>
      <w:pPr>
        <w:pBdr>
          <w:top w:val="single" w:color="7B5E2A" w:sz="8" w:space="0"/>
        </w:pBdr>
        <w:shd w:fill="1F3864" w:val="clear"/>
        <w:spacing w:after="100" w:before="220"/>
        <w:ind w:left="120" w:right="120"/>
      </w:pPr>
      <w:r>
        <w:rPr>
          <w:rFonts w:ascii="Arial" w:cs="Arial" w:eastAsia="Arial" w:hAnsi="Arial"/>
          <w:b/>
          <w:bCs/>
          <w:color w:val="FFFFFF"/>
          <w:sz w:val="22"/>
          <w:szCs w:val="22"/>
        </w:rPr>
        <w:t xml:space="preserve">7. Metodología</w:t>
      </w:r>
    </w:p>
    <w:p>
      <w:pPr>
        <w:spacing w:after="60" w:before="60"/>
      </w:pPr>
      <w:r>
        <w:t xml:space="preserve"/>
      </w:r>
    </w:p>
    <w:p>
      <w:pPr>
        <w:spacing w:after="60" w:before="60" w:line="276"/>
        <w:jc w:val="both"/>
      </w:pPr>
      <w:r>
        <w:rPr>
          <w:rFonts w:ascii="Arial" w:cs="Arial" w:eastAsia="Arial" w:hAnsi="Arial"/>
          <w:b w:val="false"/>
          <w:bCs w:val="false"/>
          <w:i w:val="false"/>
          <w:iCs w:val="false"/>
          <w:color w:val="1A1A1A"/>
          <w:sz w:val="20"/>
          <w:szCs w:val="20"/>
        </w:rPr>
        <w:t xml:space="preserve">El proyecto fue desarrollado siguiendo una metodología ágil incremental, organizada en ciclos cortos de desarrollo (sprints) de una semana de duración. En cada ciclo se definieron, construyeron y validaron funcionalidades específicas del sistema, permitiendo ajustes continuos basados en las necesidades reales del negocio y en la retroalimentación del usuario final (el CEO de Perfum Plus).</w:t>
      </w:r>
    </w:p>
    <w:p>
      <w:pPr>
        <w:spacing w:after="60" w:before="60" w:line="276"/>
        <w:jc w:val="both"/>
      </w:pPr>
      <w:r>
        <w:rPr>
          <w:rFonts w:ascii="Arial" w:cs="Arial" w:eastAsia="Arial" w:hAnsi="Arial"/>
          <w:b w:val="false"/>
          <w:bCs w:val="false"/>
          <w:i w:val="false"/>
          <w:iCs w:val="false"/>
          <w:color w:val="1A1A1A"/>
          <w:sz w:val="20"/>
          <w:szCs w:val="20"/>
        </w:rPr>
        <w:t xml:space="preserve">La arquitectura técnica seleccionada corresponde a una Aplicación Web de Página Única (SPA — Single Page Application), construida con tecnologías web estándar: HTML5 para la estructura, CSS3 para los estilos y JavaScript vanilla para la lógica de negocio, sin dependencia de frameworks externos. Esta decisión reduce la complejidad de instalación, facilita el mantenimiento del código y garantiza que la aplicación funcione directamente desde cualquier navegador moderno, sin necesidad de instalación adicional ni conexión permanente a internet.</w:t>
      </w:r>
    </w:p>
    <w:p>
      <w:pPr>
        <w:spacing w:after="60" w:before="60" w:line="276"/>
        <w:jc w:val="both"/>
      </w:pPr>
      <w:r>
        <w:rPr>
          <w:rFonts w:ascii="Arial" w:cs="Arial" w:eastAsia="Arial" w:hAnsi="Arial"/>
          <w:b w:val="false"/>
          <w:bCs w:val="false"/>
          <w:i w:val="false"/>
          <w:iCs w:val="false"/>
          <w:color w:val="1A1A1A"/>
          <w:sz w:val="20"/>
          <w:szCs w:val="20"/>
        </w:rPr>
        <w:t xml:space="preserve">Para la visualización de datos y gráficos de desempeño se utilizó la librería Chart.js, y para la persistencia de datos se implementó el almacenamiento local del navegador (localStorage), lo que permite una solución autónoma sin necesidad de un servidor backend externo en esta primera versión del producto.</w:t>
      </w:r>
    </w:p>
    <w:p>
      <w:pPr>
        <w:spacing w:after="60" w:before="60" w:line="276"/>
        <w:jc w:val="both"/>
      </w:pPr>
      <w:r>
        <w:rPr>
          <w:rFonts w:ascii="Arial" w:cs="Arial" w:eastAsia="Arial" w:hAnsi="Arial"/>
          <w:b w:val="false"/>
          <w:bCs w:val="false"/>
          <w:i w:val="false"/>
          <w:iCs w:val="false"/>
          <w:color w:val="1A1A1A"/>
          <w:sz w:val="20"/>
          <w:szCs w:val="20"/>
        </w:rPr>
        <w:t xml:space="preserve">El diseño de la interfaz sigue el principio mobile-first, priorizando la experiencia de uso desde dispositivos móviles, dado que los colaboradores interactúan con la app principalmente desde sus teléfonos durante la jornada de trabajo. La paleta de colores (dorado, crema, negro) y la tipografía seleccionada (Cormorant Garamond + DM Sans) refuerzan la identidad visual de la marca Perfum Plus, proyectando una imagen de elegancia y profesionalismo coherente con el sector de la perfumería.</w:t>
      </w:r>
    </w:p>
    <w:p>
      <w:pPr>
        <w:spacing w:after="60" w:before="60"/>
      </w:pPr>
      <w:r>
        <w:t xml:space="preserve"/>
      </w:r>
    </w:p>
    <w:p>
      <w:pPr>
        <w:pBdr>
          <w:top w:val="single" w:color="7B5E2A" w:sz="8" w:space="0"/>
        </w:pBdr>
        <w:shd w:fill="1F3864" w:val="clear"/>
        <w:spacing w:after="100" w:before="220"/>
        <w:ind w:left="120" w:right="120"/>
      </w:pPr>
      <w:r>
        <w:rPr>
          <w:rFonts w:ascii="Arial" w:cs="Arial" w:eastAsia="Arial" w:hAnsi="Arial"/>
          <w:b/>
          <w:bCs/>
          <w:color w:val="FFFFFF"/>
          <w:sz w:val="22"/>
          <w:szCs w:val="22"/>
        </w:rPr>
        <w:t xml:space="preserve">8. Plazo: Duración del proyecto</w:t>
      </w:r>
    </w:p>
    <w:p>
      <w:pPr>
        <w:spacing w:after="60" w:before="60"/>
      </w:pPr>
      <w:r>
        <w:t xml:space="preserve"/>
      </w: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tblGrid>
      <w:tr>
        <w:tc>
          <w:tcPr>
            <w:tcW w:type="dxa" w:w="2000"/>
            <w:tcBorders>
              <w:top w:val="single" w:color="B0B0B0" w:sz="4"/>
              <w:left w:val="single" w:color="B0B0B0" w:sz="4"/>
              <w:bottom w:val="single" w:color="B0B0B0" w:sz="4"/>
              <w:right w:val="single" w:color="B0B0B0" w:sz="4"/>
            </w:tcBorders>
            <w:shd w:fill="1F3864" w:val="clear"/>
            <w:tcMar>
              <w:top w:type="dxa" w:w="60"/>
              <w:left w:type="dxa" w:w="100"/>
              <w:bottom w:type="dxa" w:w="60"/>
              <w:right w:type="dxa" w:w="100"/>
            </w:tcMar>
            <w:vAlign w:val="center"/>
          </w:tcPr>
          <w:p>
            <w:pPr>
              <w:jc w:val="center"/>
            </w:pPr>
            <w:r>
              <w:rPr>
                <w:rFonts w:ascii="Arial" w:cs="Arial" w:eastAsia="Arial" w:hAnsi="Arial"/>
                <w:b/>
                <w:bCs/>
                <w:i w:val="false"/>
                <w:iCs w:val="false"/>
                <w:color w:val="FFFFFF"/>
                <w:sz w:val="18"/>
                <w:szCs w:val="18"/>
              </w:rPr>
              <w:t xml:space="preserve">SEMANAS</w:t>
            </w:r>
          </w:p>
        </w:tc>
        <w:tc>
          <w:tcPr>
            <w:tcW w:type="dxa" w:w="2000"/>
            <w:tcBorders>
              <w:top w:val="single" w:color="B0B0B0" w:sz="4"/>
              <w:left w:val="single" w:color="B0B0B0" w:sz="4"/>
              <w:bottom w:val="single" w:color="B0B0B0" w:sz="4"/>
              <w:right w:val="single" w:color="B0B0B0" w:sz="4"/>
            </w:tcBorders>
            <w:shd w:fill="1F3864" w:val="clear"/>
            <w:tcMar>
              <w:top w:type="dxa" w:w="60"/>
              <w:left w:type="dxa" w:w="100"/>
              <w:bottom w:type="dxa" w:w="60"/>
              <w:right w:type="dxa" w:w="100"/>
            </w:tcMar>
            <w:vAlign w:val="center"/>
          </w:tcPr>
          <w:p>
            <w:pPr>
              <w:jc w:val="center"/>
            </w:pPr>
            <w:r>
              <w:rPr>
                <w:rFonts w:ascii="Arial" w:cs="Arial" w:eastAsia="Arial" w:hAnsi="Arial"/>
                <w:b/>
                <w:bCs/>
                <w:i w:val="false"/>
                <w:iCs w:val="false"/>
                <w:color w:val="FFFFFF"/>
                <w:sz w:val="18"/>
                <w:szCs w:val="18"/>
              </w:rPr>
              <w:t xml:space="preserve">DÍAS</w:t>
            </w:r>
          </w:p>
        </w:tc>
      </w:tr>
      <w:tr>
        <w:tc>
          <w:tcPr>
            <w:tcW w:type="dxa" w:w="20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pPr>
              <w:jc w:val="center"/>
            </w:pPr>
            <w:r>
              <w:rPr>
                <w:rFonts w:ascii="Arial" w:cs="Arial" w:eastAsia="Arial" w:hAnsi="Arial"/>
                <w:b/>
                <w:bCs/>
                <w:i w:val="false"/>
                <w:iCs w:val="false"/>
                <w:color w:val="1A1A1A"/>
                <w:sz w:val="18"/>
                <w:szCs w:val="18"/>
              </w:rPr>
              <w:t xml:space="preserve">6</w:t>
            </w:r>
          </w:p>
        </w:tc>
        <w:tc>
          <w:tcPr>
            <w:tcW w:type="dxa" w:w="20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pPr>
              <w:jc w:val="center"/>
            </w:pPr>
            <w:r>
              <w:rPr>
                <w:rFonts w:ascii="Arial" w:cs="Arial" w:eastAsia="Arial" w:hAnsi="Arial"/>
                <w:b/>
                <w:bCs/>
                <w:i w:val="false"/>
                <w:iCs w:val="false"/>
                <w:color w:val="1A1A1A"/>
                <w:sz w:val="18"/>
                <w:szCs w:val="18"/>
              </w:rPr>
              <w:t xml:space="preserve">42</w:t>
            </w:r>
          </w:p>
        </w:tc>
      </w:tr>
    </w:tbl>
    <w:p>
      <w:pPr>
        <w:spacing w:after="60" w:before="60"/>
      </w:pPr>
      <w:r>
        <w:t xml:space="preserve"/>
      </w:r>
    </w:p>
    <w:p>
      <w:pPr>
        <w:pBdr>
          <w:top w:val="single" w:color="7B5E2A" w:sz="8" w:space="0"/>
        </w:pBdr>
        <w:shd w:fill="1F3864" w:val="clear"/>
        <w:spacing w:after="100" w:before="220"/>
        <w:ind w:left="120" w:right="120"/>
      </w:pPr>
      <w:r>
        <w:rPr>
          <w:rFonts w:ascii="Arial" w:cs="Arial" w:eastAsia="Arial" w:hAnsi="Arial"/>
          <w:b/>
          <w:bCs/>
          <w:color w:val="FFFFFF"/>
          <w:sz w:val="22"/>
          <w:szCs w:val="22"/>
        </w:rPr>
        <w:t xml:space="preserve">9. Cronograma de Actividades — Diagrama de Gantt</w:t>
      </w:r>
    </w:p>
    <w:p>
      <w:pPr>
        <w:spacing w:after="60" w:before="60"/>
      </w:pPr>
      <w:r>
        <w:t xml:space="preserve"/>
      </w:r>
    </w:p>
    <w:p>
      <w:pPr>
        <w:spacing w:after="60" w:before="60" w:line="276"/>
        <w:jc w:val="both"/>
      </w:pPr>
      <w:r>
        <w:rPr>
          <w:rFonts w:ascii="Arial" w:cs="Arial" w:eastAsia="Arial" w:hAnsi="Arial"/>
          <w:b w:val="false"/>
          <w:bCs w:val="false"/>
          <w:i w:val="false"/>
          <w:iCs w:val="false"/>
          <w:color w:val="1A1A1A"/>
          <w:sz w:val="20"/>
          <w:szCs w:val="20"/>
        </w:rPr>
        <w:t xml:space="preserve">A continuación se detalla el cronograma de actividades del proyecto, distribuidas en 6 semanas (42 días), con su respectiva secuencialidad y responsable: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900"/>
        <w:gridCol w:w="900"/>
        <w:gridCol w:w="900"/>
        <w:gridCol w:w="900"/>
        <w:gridCol w:w="900"/>
        <w:gridCol w:w="900"/>
        <w:gridCol w:w="1660"/>
      </w:tblGrid>
      <w:tr>
        <w:tc>
          <w:tcPr>
            <w:tcW w:type="dxa" w:w="500"/>
            <w:tcBorders>
              <w:top w:val="single" w:color="B0B0B0" w:sz="4"/>
              <w:left w:val="single" w:color="B0B0B0" w:sz="4"/>
              <w:bottom w:val="single" w:color="B0B0B0" w:sz="4"/>
              <w:right w:val="single" w:color="B0B0B0" w:sz="4"/>
            </w:tcBorders>
            <w:shd w:fill="1F3864" w:val="clear"/>
            <w:tcMar>
              <w:top w:type="dxa" w:w="60"/>
              <w:left w:type="dxa" w:w="100"/>
              <w:bottom w:type="dxa" w:w="60"/>
              <w:right w:type="dxa" w:w="100"/>
            </w:tcMar>
            <w:vAlign w:val="center"/>
          </w:tcPr>
          <w:p>
            <w:pPr>
              <w:jc w:val="center"/>
            </w:pPr>
            <w:r>
              <w:rPr>
                <w:rFonts w:ascii="Arial" w:cs="Arial" w:eastAsia="Arial" w:hAnsi="Arial"/>
                <w:b/>
                <w:bCs/>
                <w:i w:val="false"/>
                <w:iCs w:val="false"/>
                <w:color w:val="FFFFFF"/>
                <w:sz w:val="18"/>
                <w:szCs w:val="18"/>
              </w:rPr>
              <w:t xml:space="preserve">No.</w:t>
            </w:r>
          </w:p>
        </w:tc>
        <w:tc>
          <w:tcPr>
            <w:tcW w:type="dxa" w:w="2500"/>
            <w:tcBorders>
              <w:top w:val="single" w:color="B0B0B0" w:sz="4"/>
              <w:left w:val="single" w:color="B0B0B0" w:sz="4"/>
              <w:bottom w:val="single" w:color="B0B0B0" w:sz="4"/>
              <w:right w:val="single" w:color="B0B0B0" w:sz="4"/>
            </w:tcBorders>
            <w:shd w:fill="1F3864" w:val="clear"/>
            <w:tcMar>
              <w:top w:type="dxa" w:w="60"/>
              <w:left w:type="dxa" w:w="100"/>
              <w:bottom w:type="dxa" w:w="60"/>
              <w:right w:type="dxa" w:w="100"/>
            </w:tcMar>
            <w:vAlign w:val="center"/>
          </w:tcPr>
          <w:p>
            <w:pPr>
              <w:jc w:val="left"/>
            </w:pPr>
            <w:r>
              <w:rPr>
                <w:rFonts w:ascii="Arial" w:cs="Arial" w:eastAsia="Arial" w:hAnsi="Arial"/>
                <w:b/>
                <w:bCs/>
                <w:i w:val="false"/>
                <w:iCs w:val="false"/>
                <w:color w:val="FFFFFF"/>
                <w:sz w:val="18"/>
                <w:szCs w:val="18"/>
              </w:rPr>
              <w:t xml:space="preserve">Actividad</w:t>
            </w:r>
          </w:p>
        </w:tc>
        <w:tc>
          <w:tcPr>
            <w:tcW w:type="dxa" w:w="900"/>
            <w:tcBorders>
              <w:top w:val="single" w:color="B0B0B0" w:sz="4"/>
              <w:left w:val="single" w:color="B0B0B0" w:sz="4"/>
              <w:bottom w:val="single" w:color="B0B0B0" w:sz="4"/>
              <w:right w:val="single" w:color="B0B0B0" w:sz="4"/>
            </w:tcBorders>
            <w:shd w:fill="1F3864" w:val="clear"/>
            <w:tcMar>
              <w:top w:type="dxa" w:w="60"/>
              <w:left w:type="dxa" w:w="100"/>
              <w:bottom w:type="dxa" w:w="60"/>
              <w:right w:type="dxa" w:w="100"/>
            </w:tcMar>
            <w:vAlign w:val="center"/>
          </w:tcPr>
          <w:p>
            <w:pPr>
              <w:jc w:val="center"/>
            </w:pPr>
            <w:r>
              <w:rPr>
                <w:rFonts w:ascii="Arial" w:cs="Arial" w:eastAsia="Arial" w:hAnsi="Arial"/>
                <w:b/>
                <w:bCs/>
                <w:i w:val="false"/>
                <w:iCs w:val="false"/>
                <w:color w:val="FFFFFF"/>
                <w:sz w:val="18"/>
                <w:szCs w:val="18"/>
              </w:rPr>
              <w:t xml:space="preserve">S 1</w:t>
            </w:r>
          </w:p>
        </w:tc>
        <w:tc>
          <w:tcPr>
            <w:tcW w:type="dxa" w:w="900"/>
            <w:tcBorders>
              <w:top w:val="single" w:color="B0B0B0" w:sz="4"/>
              <w:left w:val="single" w:color="B0B0B0" w:sz="4"/>
              <w:bottom w:val="single" w:color="B0B0B0" w:sz="4"/>
              <w:right w:val="single" w:color="B0B0B0" w:sz="4"/>
            </w:tcBorders>
            <w:shd w:fill="1F3864" w:val="clear"/>
            <w:tcMar>
              <w:top w:type="dxa" w:w="60"/>
              <w:left w:type="dxa" w:w="100"/>
              <w:bottom w:type="dxa" w:w="60"/>
              <w:right w:type="dxa" w:w="100"/>
            </w:tcMar>
            <w:vAlign w:val="center"/>
          </w:tcPr>
          <w:p>
            <w:pPr>
              <w:jc w:val="center"/>
            </w:pPr>
            <w:r>
              <w:rPr>
                <w:rFonts w:ascii="Arial" w:cs="Arial" w:eastAsia="Arial" w:hAnsi="Arial"/>
                <w:b/>
                <w:bCs/>
                <w:i w:val="false"/>
                <w:iCs w:val="false"/>
                <w:color w:val="FFFFFF"/>
                <w:sz w:val="18"/>
                <w:szCs w:val="18"/>
              </w:rPr>
              <w:t xml:space="preserve">S 2</w:t>
            </w:r>
          </w:p>
        </w:tc>
        <w:tc>
          <w:tcPr>
            <w:tcW w:type="dxa" w:w="900"/>
            <w:tcBorders>
              <w:top w:val="single" w:color="B0B0B0" w:sz="4"/>
              <w:left w:val="single" w:color="B0B0B0" w:sz="4"/>
              <w:bottom w:val="single" w:color="B0B0B0" w:sz="4"/>
              <w:right w:val="single" w:color="B0B0B0" w:sz="4"/>
            </w:tcBorders>
            <w:shd w:fill="1F3864" w:val="clear"/>
            <w:tcMar>
              <w:top w:type="dxa" w:w="60"/>
              <w:left w:type="dxa" w:w="100"/>
              <w:bottom w:type="dxa" w:w="60"/>
              <w:right w:type="dxa" w:w="100"/>
            </w:tcMar>
            <w:vAlign w:val="center"/>
          </w:tcPr>
          <w:p>
            <w:pPr>
              <w:jc w:val="center"/>
            </w:pPr>
            <w:r>
              <w:rPr>
                <w:rFonts w:ascii="Arial" w:cs="Arial" w:eastAsia="Arial" w:hAnsi="Arial"/>
                <w:b/>
                <w:bCs/>
                <w:i w:val="false"/>
                <w:iCs w:val="false"/>
                <w:color w:val="FFFFFF"/>
                <w:sz w:val="18"/>
                <w:szCs w:val="18"/>
              </w:rPr>
              <w:t xml:space="preserve">S 3</w:t>
            </w:r>
          </w:p>
        </w:tc>
        <w:tc>
          <w:tcPr>
            <w:tcW w:type="dxa" w:w="900"/>
            <w:tcBorders>
              <w:top w:val="single" w:color="B0B0B0" w:sz="4"/>
              <w:left w:val="single" w:color="B0B0B0" w:sz="4"/>
              <w:bottom w:val="single" w:color="B0B0B0" w:sz="4"/>
              <w:right w:val="single" w:color="B0B0B0" w:sz="4"/>
            </w:tcBorders>
            <w:shd w:fill="1F3864" w:val="clear"/>
            <w:tcMar>
              <w:top w:type="dxa" w:w="60"/>
              <w:left w:type="dxa" w:w="100"/>
              <w:bottom w:type="dxa" w:w="60"/>
              <w:right w:type="dxa" w:w="100"/>
            </w:tcMar>
            <w:vAlign w:val="center"/>
          </w:tcPr>
          <w:p>
            <w:pPr>
              <w:jc w:val="center"/>
            </w:pPr>
            <w:r>
              <w:rPr>
                <w:rFonts w:ascii="Arial" w:cs="Arial" w:eastAsia="Arial" w:hAnsi="Arial"/>
                <w:b/>
                <w:bCs/>
                <w:i w:val="false"/>
                <w:iCs w:val="false"/>
                <w:color w:val="FFFFFF"/>
                <w:sz w:val="18"/>
                <w:szCs w:val="18"/>
              </w:rPr>
              <w:t xml:space="preserve">S 4</w:t>
            </w:r>
          </w:p>
        </w:tc>
        <w:tc>
          <w:tcPr>
            <w:tcW w:type="dxa" w:w="900"/>
            <w:tcBorders>
              <w:top w:val="single" w:color="B0B0B0" w:sz="4"/>
              <w:left w:val="single" w:color="B0B0B0" w:sz="4"/>
              <w:bottom w:val="single" w:color="B0B0B0" w:sz="4"/>
              <w:right w:val="single" w:color="B0B0B0" w:sz="4"/>
            </w:tcBorders>
            <w:shd w:fill="1F3864" w:val="clear"/>
            <w:tcMar>
              <w:top w:type="dxa" w:w="60"/>
              <w:left w:type="dxa" w:w="100"/>
              <w:bottom w:type="dxa" w:w="60"/>
              <w:right w:type="dxa" w:w="100"/>
            </w:tcMar>
            <w:vAlign w:val="center"/>
          </w:tcPr>
          <w:p>
            <w:pPr>
              <w:jc w:val="center"/>
            </w:pPr>
            <w:r>
              <w:rPr>
                <w:rFonts w:ascii="Arial" w:cs="Arial" w:eastAsia="Arial" w:hAnsi="Arial"/>
                <w:b/>
                <w:bCs/>
                <w:i w:val="false"/>
                <w:iCs w:val="false"/>
                <w:color w:val="FFFFFF"/>
                <w:sz w:val="18"/>
                <w:szCs w:val="18"/>
              </w:rPr>
              <w:t xml:space="preserve">S 5</w:t>
            </w:r>
          </w:p>
        </w:tc>
        <w:tc>
          <w:tcPr>
            <w:tcW w:type="dxa" w:w="900"/>
            <w:tcBorders>
              <w:top w:val="single" w:color="B0B0B0" w:sz="4"/>
              <w:left w:val="single" w:color="B0B0B0" w:sz="4"/>
              <w:bottom w:val="single" w:color="B0B0B0" w:sz="4"/>
              <w:right w:val="single" w:color="B0B0B0" w:sz="4"/>
            </w:tcBorders>
            <w:shd w:fill="1F3864" w:val="clear"/>
            <w:tcMar>
              <w:top w:type="dxa" w:w="60"/>
              <w:left w:type="dxa" w:w="100"/>
              <w:bottom w:type="dxa" w:w="60"/>
              <w:right w:type="dxa" w:w="100"/>
            </w:tcMar>
            <w:vAlign w:val="center"/>
          </w:tcPr>
          <w:p>
            <w:pPr>
              <w:jc w:val="center"/>
            </w:pPr>
            <w:r>
              <w:rPr>
                <w:rFonts w:ascii="Arial" w:cs="Arial" w:eastAsia="Arial" w:hAnsi="Arial"/>
                <w:b/>
                <w:bCs/>
                <w:i w:val="false"/>
                <w:iCs w:val="false"/>
                <w:color w:val="FFFFFF"/>
                <w:sz w:val="18"/>
                <w:szCs w:val="18"/>
              </w:rPr>
              <w:t xml:space="preserve">S 6</w:t>
            </w:r>
          </w:p>
        </w:tc>
        <w:tc>
          <w:tcPr>
            <w:tcW w:type="dxa" w:w="1660"/>
            <w:tcBorders>
              <w:top w:val="single" w:color="B0B0B0" w:sz="4"/>
              <w:left w:val="single" w:color="B0B0B0" w:sz="4"/>
              <w:bottom w:val="single" w:color="B0B0B0" w:sz="4"/>
              <w:right w:val="single" w:color="B0B0B0" w:sz="4"/>
            </w:tcBorders>
            <w:shd w:fill="1F3864" w:val="clear"/>
            <w:tcMar>
              <w:top w:type="dxa" w:w="60"/>
              <w:left w:type="dxa" w:w="100"/>
              <w:bottom w:type="dxa" w:w="60"/>
              <w:right w:type="dxa" w:w="100"/>
            </w:tcMar>
            <w:vAlign w:val="center"/>
          </w:tcPr>
          <w:p>
            <w:pPr>
              <w:jc w:val="left"/>
            </w:pPr>
            <w:r>
              <w:rPr>
                <w:rFonts w:ascii="Arial" w:cs="Arial" w:eastAsia="Arial" w:hAnsi="Arial"/>
                <w:b/>
                <w:bCs/>
                <w:i w:val="false"/>
                <w:iCs w:val="false"/>
                <w:color w:val="FFFFFF"/>
                <w:sz w:val="18"/>
                <w:szCs w:val="18"/>
              </w:rPr>
              <w:t xml:space="preserve">Responsable</w:t>
            </w:r>
          </w:p>
        </w:tc>
      </w:tr>
      <w:tr>
        <w:tc>
          <w:tcPr>
            <w:tcW w:type="dxa" w:w="5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1A1A1A"/>
                <w:sz w:val="18"/>
                <w:szCs w:val="18"/>
              </w:rPr>
              <w:t xml:space="preserve">1</w:t>
            </w:r>
          </w:p>
        </w:tc>
        <w:tc>
          <w:tcPr>
            <w:tcW w:type="dxa" w:w="25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1A1A1A"/>
                <w:sz w:val="17"/>
                <w:szCs w:val="17"/>
              </w:rPr>
              <w:t xml:space="preserve">Levantamiento de requerimientos y diseño de interfaz de usuario (UX/UI)</w:t>
            </w:r>
          </w:p>
        </w:tc>
        <w:tc>
          <w:tcPr>
            <w:tcW w:type="dxa" w:w="900"/>
            <w:tcBorders>
              <w:top w:val="single" w:color="B0B0B0" w:sz="4"/>
              <w:left w:val="single" w:color="B0B0B0" w:sz="4"/>
              <w:bottom w:val="single" w:color="B0B0B0" w:sz="4"/>
              <w:right w:val="single" w:color="B0B0B0" w:sz="4"/>
            </w:tcBorders>
            <w:shd w:fill="D9E2F3" w:val="clear"/>
            <w:tcMar>
              <w:top w:type="dxa" w:w="60"/>
              <w:left w:type="dxa" w:w="100"/>
              <w:bottom w:type="dxa" w:w="60"/>
              <w:right w:type="dxa" w:w="100"/>
            </w:tcMar>
            <w:vAlign w:val="center"/>
          </w:tcPr>
          <w:p>
            <w:pPr>
              <w:jc w:val="center"/>
            </w:pPr>
            <w:r>
              <w:rPr>
                <w:rFonts w:ascii="Arial" w:cs="Arial" w:eastAsia="Arial" w:hAnsi="Arial"/>
                <w:b/>
                <w:bCs/>
                <w:i w:val="false"/>
                <w:iCs w:val="false"/>
                <w:color w:val="1F3864"/>
                <w:sz w:val="18"/>
                <w:szCs w:val="18"/>
              </w:rPr>
              <w:t xml:space="preserve">X</w:t>
            </w:r>
          </w:p>
        </w:tc>
        <w:tc>
          <w:tcPr>
            <w:tcW w:type="dxa" w:w="900"/>
            <w:tcBorders>
              <w:top w:val="single" w:color="B0B0B0" w:sz="4"/>
              <w:left w:val="single" w:color="B0B0B0" w:sz="4"/>
              <w:bottom w:val="single" w:color="B0B0B0" w:sz="4"/>
              <w:right w:val="single" w:color="B0B0B0"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1A1A1A"/>
                <w:sz w:val="18"/>
                <w:szCs w:val="18"/>
              </w:rPr>
              <w:t xml:space="preserve"/>
            </w:r>
          </w:p>
        </w:tc>
        <w:tc>
          <w:tcPr>
            <w:tcW w:type="dxa" w:w="900"/>
            <w:tcBorders>
              <w:top w:val="single" w:color="B0B0B0" w:sz="4"/>
              <w:left w:val="single" w:color="B0B0B0" w:sz="4"/>
              <w:bottom w:val="single" w:color="B0B0B0" w:sz="4"/>
              <w:right w:val="single" w:color="B0B0B0"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1A1A1A"/>
                <w:sz w:val="18"/>
                <w:szCs w:val="18"/>
              </w:rPr>
              <w:t xml:space="preserve"/>
            </w:r>
          </w:p>
        </w:tc>
        <w:tc>
          <w:tcPr>
            <w:tcW w:type="dxa" w:w="900"/>
            <w:tcBorders>
              <w:top w:val="single" w:color="B0B0B0" w:sz="4"/>
              <w:left w:val="single" w:color="B0B0B0" w:sz="4"/>
              <w:bottom w:val="single" w:color="B0B0B0" w:sz="4"/>
              <w:right w:val="single" w:color="B0B0B0"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1A1A1A"/>
                <w:sz w:val="18"/>
                <w:szCs w:val="18"/>
              </w:rPr>
              <w:t xml:space="preserve"/>
            </w:r>
          </w:p>
        </w:tc>
        <w:tc>
          <w:tcPr>
            <w:tcW w:type="dxa" w:w="900"/>
            <w:tcBorders>
              <w:top w:val="single" w:color="B0B0B0" w:sz="4"/>
              <w:left w:val="single" w:color="B0B0B0" w:sz="4"/>
              <w:bottom w:val="single" w:color="B0B0B0" w:sz="4"/>
              <w:right w:val="single" w:color="B0B0B0"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1A1A1A"/>
                <w:sz w:val="18"/>
                <w:szCs w:val="18"/>
              </w:rPr>
              <w:t xml:space="preserve"/>
            </w:r>
          </w:p>
        </w:tc>
        <w:tc>
          <w:tcPr>
            <w:tcW w:type="dxa" w:w="900"/>
            <w:tcBorders>
              <w:top w:val="single" w:color="B0B0B0" w:sz="4"/>
              <w:left w:val="single" w:color="B0B0B0" w:sz="4"/>
              <w:bottom w:val="single" w:color="B0B0B0" w:sz="4"/>
              <w:right w:val="single" w:color="B0B0B0"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1A1A1A"/>
                <w:sz w:val="18"/>
                <w:szCs w:val="18"/>
              </w:rPr>
              <w:t xml:space="preserve"/>
            </w:r>
          </w:p>
        </w:tc>
        <w:tc>
          <w:tcPr>
            <w:tcW w:type="dxa" w:w="166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1A1A1A"/>
                <w:sz w:val="17"/>
                <w:szCs w:val="17"/>
              </w:rPr>
              <w:t xml:space="preserve">Kevin Obando</w:t>
            </w:r>
          </w:p>
        </w:tc>
      </w:tr>
      <w:tr>
        <w:tc>
          <w:tcPr>
            <w:tcW w:type="dxa" w:w="5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1A1A1A"/>
                <w:sz w:val="18"/>
                <w:szCs w:val="18"/>
              </w:rPr>
              <w:t xml:space="preserve">2</w:t>
            </w:r>
          </w:p>
        </w:tc>
        <w:tc>
          <w:tcPr>
            <w:tcW w:type="dxa" w:w="25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1A1A1A"/>
                <w:sz w:val="17"/>
                <w:szCs w:val="17"/>
              </w:rPr>
              <w:t xml:space="preserve">Desarrollo del módulo de autenticación y login por roles (CEO / Colaborador)</w:t>
            </w:r>
          </w:p>
        </w:tc>
        <w:tc>
          <w:tcPr>
            <w:tcW w:type="dxa" w:w="900"/>
            <w:tcBorders>
              <w:top w:val="single" w:color="B0B0B0" w:sz="4"/>
              <w:left w:val="single" w:color="B0B0B0" w:sz="4"/>
              <w:bottom w:val="single" w:color="B0B0B0" w:sz="4"/>
              <w:right w:val="single" w:color="B0B0B0"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1A1A1A"/>
                <w:sz w:val="18"/>
                <w:szCs w:val="18"/>
              </w:rPr>
              <w:t xml:space="preserve"/>
            </w:r>
          </w:p>
        </w:tc>
        <w:tc>
          <w:tcPr>
            <w:tcW w:type="dxa" w:w="900"/>
            <w:tcBorders>
              <w:top w:val="single" w:color="B0B0B0" w:sz="4"/>
              <w:left w:val="single" w:color="B0B0B0" w:sz="4"/>
              <w:bottom w:val="single" w:color="B0B0B0" w:sz="4"/>
              <w:right w:val="single" w:color="B0B0B0" w:sz="4"/>
            </w:tcBorders>
            <w:shd w:fill="D9E2F3" w:val="clear"/>
            <w:tcMar>
              <w:top w:type="dxa" w:w="60"/>
              <w:left w:type="dxa" w:w="100"/>
              <w:bottom w:type="dxa" w:w="60"/>
              <w:right w:type="dxa" w:w="100"/>
            </w:tcMar>
            <w:vAlign w:val="center"/>
          </w:tcPr>
          <w:p>
            <w:pPr>
              <w:jc w:val="center"/>
            </w:pPr>
            <w:r>
              <w:rPr>
                <w:rFonts w:ascii="Arial" w:cs="Arial" w:eastAsia="Arial" w:hAnsi="Arial"/>
                <w:b/>
                <w:bCs/>
                <w:i w:val="false"/>
                <w:iCs w:val="false"/>
                <w:color w:val="1F3864"/>
                <w:sz w:val="18"/>
                <w:szCs w:val="18"/>
              </w:rPr>
              <w:t xml:space="preserve">X</w:t>
            </w:r>
          </w:p>
        </w:tc>
        <w:tc>
          <w:tcPr>
            <w:tcW w:type="dxa" w:w="900"/>
            <w:tcBorders>
              <w:top w:val="single" w:color="B0B0B0" w:sz="4"/>
              <w:left w:val="single" w:color="B0B0B0" w:sz="4"/>
              <w:bottom w:val="single" w:color="B0B0B0" w:sz="4"/>
              <w:right w:val="single" w:color="B0B0B0"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1A1A1A"/>
                <w:sz w:val="18"/>
                <w:szCs w:val="18"/>
              </w:rPr>
              <w:t xml:space="preserve"/>
            </w:r>
          </w:p>
        </w:tc>
        <w:tc>
          <w:tcPr>
            <w:tcW w:type="dxa" w:w="900"/>
            <w:tcBorders>
              <w:top w:val="single" w:color="B0B0B0" w:sz="4"/>
              <w:left w:val="single" w:color="B0B0B0" w:sz="4"/>
              <w:bottom w:val="single" w:color="B0B0B0" w:sz="4"/>
              <w:right w:val="single" w:color="B0B0B0"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1A1A1A"/>
                <w:sz w:val="18"/>
                <w:szCs w:val="18"/>
              </w:rPr>
              <w:t xml:space="preserve"/>
            </w:r>
          </w:p>
        </w:tc>
        <w:tc>
          <w:tcPr>
            <w:tcW w:type="dxa" w:w="900"/>
            <w:tcBorders>
              <w:top w:val="single" w:color="B0B0B0" w:sz="4"/>
              <w:left w:val="single" w:color="B0B0B0" w:sz="4"/>
              <w:bottom w:val="single" w:color="B0B0B0" w:sz="4"/>
              <w:right w:val="single" w:color="B0B0B0"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1A1A1A"/>
                <w:sz w:val="18"/>
                <w:szCs w:val="18"/>
              </w:rPr>
              <w:t xml:space="preserve"/>
            </w:r>
          </w:p>
        </w:tc>
        <w:tc>
          <w:tcPr>
            <w:tcW w:type="dxa" w:w="900"/>
            <w:tcBorders>
              <w:top w:val="single" w:color="B0B0B0" w:sz="4"/>
              <w:left w:val="single" w:color="B0B0B0" w:sz="4"/>
              <w:bottom w:val="single" w:color="B0B0B0" w:sz="4"/>
              <w:right w:val="single" w:color="B0B0B0"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1A1A1A"/>
                <w:sz w:val="18"/>
                <w:szCs w:val="18"/>
              </w:rPr>
              <w:t xml:space="preserve"/>
            </w:r>
          </w:p>
        </w:tc>
        <w:tc>
          <w:tcPr>
            <w:tcW w:type="dxa" w:w="166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1A1A1A"/>
                <w:sz w:val="17"/>
                <w:szCs w:val="17"/>
              </w:rPr>
              <w:t xml:space="preserve">Kevin Obando</w:t>
            </w:r>
          </w:p>
        </w:tc>
      </w:tr>
      <w:tr>
        <w:tc>
          <w:tcPr>
            <w:tcW w:type="dxa" w:w="5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1A1A1A"/>
                <w:sz w:val="18"/>
                <w:szCs w:val="18"/>
              </w:rPr>
              <w:t xml:space="preserve">3</w:t>
            </w:r>
          </w:p>
        </w:tc>
        <w:tc>
          <w:tcPr>
            <w:tcW w:type="dxa" w:w="25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1A1A1A"/>
                <w:sz w:val="17"/>
                <w:szCs w:val="17"/>
              </w:rPr>
              <w:t xml:space="preserve">Desarrollo de la vista del colaborador: tareas diarias, progreso y chatbot IA</w:t>
            </w:r>
          </w:p>
        </w:tc>
        <w:tc>
          <w:tcPr>
            <w:tcW w:type="dxa" w:w="900"/>
            <w:tcBorders>
              <w:top w:val="single" w:color="B0B0B0" w:sz="4"/>
              <w:left w:val="single" w:color="B0B0B0" w:sz="4"/>
              <w:bottom w:val="single" w:color="B0B0B0" w:sz="4"/>
              <w:right w:val="single" w:color="B0B0B0"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1A1A1A"/>
                <w:sz w:val="18"/>
                <w:szCs w:val="18"/>
              </w:rPr>
              <w:t xml:space="preserve"/>
            </w:r>
          </w:p>
        </w:tc>
        <w:tc>
          <w:tcPr>
            <w:tcW w:type="dxa" w:w="900"/>
            <w:tcBorders>
              <w:top w:val="single" w:color="B0B0B0" w:sz="4"/>
              <w:left w:val="single" w:color="B0B0B0" w:sz="4"/>
              <w:bottom w:val="single" w:color="B0B0B0" w:sz="4"/>
              <w:right w:val="single" w:color="B0B0B0"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1A1A1A"/>
                <w:sz w:val="18"/>
                <w:szCs w:val="18"/>
              </w:rPr>
              <w:t xml:space="preserve"/>
            </w:r>
          </w:p>
        </w:tc>
        <w:tc>
          <w:tcPr>
            <w:tcW w:type="dxa" w:w="900"/>
            <w:tcBorders>
              <w:top w:val="single" w:color="B0B0B0" w:sz="4"/>
              <w:left w:val="single" w:color="B0B0B0" w:sz="4"/>
              <w:bottom w:val="single" w:color="B0B0B0" w:sz="4"/>
              <w:right w:val="single" w:color="B0B0B0" w:sz="4"/>
            </w:tcBorders>
            <w:shd w:fill="D9E2F3" w:val="clear"/>
            <w:tcMar>
              <w:top w:type="dxa" w:w="60"/>
              <w:left w:type="dxa" w:w="100"/>
              <w:bottom w:type="dxa" w:w="60"/>
              <w:right w:type="dxa" w:w="100"/>
            </w:tcMar>
            <w:vAlign w:val="center"/>
          </w:tcPr>
          <w:p>
            <w:pPr>
              <w:jc w:val="center"/>
            </w:pPr>
            <w:r>
              <w:rPr>
                <w:rFonts w:ascii="Arial" w:cs="Arial" w:eastAsia="Arial" w:hAnsi="Arial"/>
                <w:b/>
                <w:bCs/>
                <w:i w:val="false"/>
                <w:iCs w:val="false"/>
                <w:color w:val="1F3864"/>
                <w:sz w:val="18"/>
                <w:szCs w:val="18"/>
              </w:rPr>
              <w:t xml:space="preserve">X</w:t>
            </w:r>
          </w:p>
        </w:tc>
        <w:tc>
          <w:tcPr>
            <w:tcW w:type="dxa" w:w="900"/>
            <w:tcBorders>
              <w:top w:val="single" w:color="B0B0B0" w:sz="4"/>
              <w:left w:val="single" w:color="B0B0B0" w:sz="4"/>
              <w:bottom w:val="single" w:color="B0B0B0" w:sz="4"/>
              <w:right w:val="single" w:color="B0B0B0"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1A1A1A"/>
                <w:sz w:val="18"/>
                <w:szCs w:val="18"/>
              </w:rPr>
              <w:t xml:space="preserve"/>
            </w:r>
          </w:p>
        </w:tc>
        <w:tc>
          <w:tcPr>
            <w:tcW w:type="dxa" w:w="900"/>
            <w:tcBorders>
              <w:top w:val="single" w:color="B0B0B0" w:sz="4"/>
              <w:left w:val="single" w:color="B0B0B0" w:sz="4"/>
              <w:bottom w:val="single" w:color="B0B0B0" w:sz="4"/>
              <w:right w:val="single" w:color="B0B0B0"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1A1A1A"/>
                <w:sz w:val="18"/>
                <w:szCs w:val="18"/>
              </w:rPr>
              <w:t xml:space="preserve"/>
            </w:r>
          </w:p>
        </w:tc>
        <w:tc>
          <w:tcPr>
            <w:tcW w:type="dxa" w:w="900"/>
            <w:tcBorders>
              <w:top w:val="single" w:color="B0B0B0" w:sz="4"/>
              <w:left w:val="single" w:color="B0B0B0" w:sz="4"/>
              <w:bottom w:val="single" w:color="B0B0B0" w:sz="4"/>
              <w:right w:val="single" w:color="B0B0B0"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1A1A1A"/>
                <w:sz w:val="18"/>
                <w:szCs w:val="18"/>
              </w:rPr>
              <w:t xml:space="preserve"/>
            </w:r>
          </w:p>
        </w:tc>
        <w:tc>
          <w:tcPr>
            <w:tcW w:type="dxa" w:w="166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1A1A1A"/>
                <w:sz w:val="17"/>
                <w:szCs w:val="17"/>
              </w:rPr>
              <w:t xml:space="preserve">Kevin Obando</w:t>
            </w:r>
          </w:p>
        </w:tc>
      </w:tr>
      <w:tr>
        <w:tc>
          <w:tcPr>
            <w:tcW w:type="dxa" w:w="5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1A1A1A"/>
                <w:sz w:val="18"/>
                <w:szCs w:val="18"/>
              </w:rPr>
              <w:t xml:space="preserve">4</w:t>
            </w:r>
          </w:p>
        </w:tc>
        <w:tc>
          <w:tcPr>
            <w:tcW w:type="dxa" w:w="25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1A1A1A"/>
                <w:sz w:val="17"/>
                <w:szCs w:val="17"/>
              </w:rPr>
              <w:t xml:space="preserve">Desarrollo del dashboard del CEO: calificaciones, solicitudes y gestión del equipo</w:t>
            </w:r>
          </w:p>
        </w:tc>
        <w:tc>
          <w:tcPr>
            <w:tcW w:type="dxa" w:w="900"/>
            <w:tcBorders>
              <w:top w:val="single" w:color="B0B0B0" w:sz="4"/>
              <w:left w:val="single" w:color="B0B0B0" w:sz="4"/>
              <w:bottom w:val="single" w:color="B0B0B0" w:sz="4"/>
              <w:right w:val="single" w:color="B0B0B0"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1A1A1A"/>
                <w:sz w:val="18"/>
                <w:szCs w:val="18"/>
              </w:rPr>
              <w:t xml:space="preserve"/>
            </w:r>
          </w:p>
        </w:tc>
        <w:tc>
          <w:tcPr>
            <w:tcW w:type="dxa" w:w="900"/>
            <w:tcBorders>
              <w:top w:val="single" w:color="B0B0B0" w:sz="4"/>
              <w:left w:val="single" w:color="B0B0B0" w:sz="4"/>
              <w:bottom w:val="single" w:color="B0B0B0" w:sz="4"/>
              <w:right w:val="single" w:color="B0B0B0"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1A1A1A"/>
                <w:sz w:val="18"/>
                <w:szCs w:val="18"/>
              </w:rPr>
              <w:t xml:space="preserve"/>
            </w:r>
          </w:p>
        </w:tc>
        <w:tc>
          <w:tcPr>
            <w:tcW w:type="dxa" w:w="900"/>
            <w:tcBorders>
              <w:top w:val="single" w:color="B0B0B0" w:sz="4"/>
              <w:left w:val="single" w:color="B0B0B0" w:sz="4"/>
              <w:bottom w:val="single" w:color="B0B0B0" w:sz="4"/>
              <w:right w:val="single" w:color="B0B0B0"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1A1A1A"/>
                <w:sz w:val="18"/>
                <w:szCs w:val="18"/>
              </w:rPr>
              <w:t xml:space="preserve"/>
            </w:r>
          </w:p>
        </w:tc>
        <w:tc>
          <w:tcPr>
            <w:tcW w:type="dxa" w:w="900"/>
            <w:tcBorders>
              <w:top w:val="single" w:color="B0B0B0" w:sz="4"/>
              <w:left w:val="single" w:color="B0B0B0" w:sz="4"/>
              <w:bottom w:val="single" w:color="B0B0B0" w:sz="4"/>
              <w:right w:val="single" w:color="B0B0B0" w:sz="4"/>
            </w:tcBorders>
            <w:shd w:fill="D9E2F3" w:val="clear"/>
            <w:tcMar>
              <w:top w:type="dxa" w:w="60"/>
              <w:left w:type="dxa" w:w="100"/>
              <w:bottom w:type="dxa" w:w="60"/>
              <w:right w:type="dxa" w:w="100"/>
            </w:tcMar>
            <w:vAlign w:val="center"/>
          </w:tcPr>
          <w:p>
            <w:pPr>
              <w:jc w:val="center"/>
            </w:pPr>
            <w:r>
              <w:rPr>
                <w:rFonts w:ascii="Arial" w:cs="Arial" w:eastAsia="Arial" w:hAnsi="Arial"/>
                <w:b/>
                <w:bCs/>
                <w:i w:val="false"/>
                <w:iCs w:val="false"/>
                <w:color w:val="1F3864"/>
                <w:sz w:val="18"/>
                <w:szCs w:val="18"/>
              </w:rPr>
              <w:t xml:space="preserve">X</w:t>
            </w:r>
          </w:p>
        </w:tc>
        <w:tc>
          <w:tcPr>
            <w:tcW w:type="dxa" w:w="900"/>
            <w:tcBorders>
              <w:top w:val="single" w:color="B0B0B0" w:sz="4"/>
              <w:left w:val="single" w:color="B0B0B0" w:sz="4"/>
              <w:bottom w:val="single" w:color="B0B0B0" w:sz="4"/>
              <w:right w:val="single" w:color="B0B0B0"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1A1A1A"/>
                <w:sz w:val="18"/>
                <w:szCs w:val="18"/>
              </w:rPr>
              <w:t xml:space="preserve"/>
            </w:r>
          </w:p>
        </w:tc>
        <w:tc>
          <w:tcPr>
            <w:tcW w:type="dxa" w:w="900"/>
            <w:tcBorders>
              <w:top w:val="single" w:color="B0B0B0" w:sz="4"/>
              <w:left w:val="single" w:color="B0B0B0" w:sz="4"/>
              <w:bottom w:val="single" w:color="B0B0B0" w:sz="4"/>
              <w:right w:val="single" w:color="B0B0B0"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1A1A1A"/>
                <w:sz w:val="18"/>
                <w:szCs w:val="18"/>
              </w:rPr>
              <w:t xml:space="preserve"/>
            </w:r>
          </w:p>
        </w:tc>
        <w:tc>
          <w:tcPr>
            <w:tcW w:type="dxa" w:w="166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1A1A1A"/>
                <w:sz w:val="17"/>
                <w:szCs w:val="17"/>
              </w:rPr>
              <w:t xml:space="preserve">Kevin Obando</w:t>
            </w:r>
          </w:p>
        </w:tc>
      </w:tr>
      <w:tr>
        <w:tc>
          <w:tcPr>
            <w:tcW w:type="dxa" w:w="5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1A1A1A"/>
                <w:sz w:val="18"/>
                <w:szCs w:val="18"/>
              </w:rPr>
              <w:t xml:space="preserve">5</w:t>
            </w:r>
          </w:p>
        </w:tc>
        <w:tc>
          <w:tcPr>
            <w:tcW w:type="dxa" w:w="25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1A1A1A"/>
                <w:sz w:val="17"/>
                <w:szCs w:val="17"/>
              </w:rPr>
              <w:t xml:space="preserve">Implementación del módulo de análisis, gráficos de desempeño y motor de retos</w:t>
            </w:r>
          </w:p>
        </w:tc>
        <w:tc>
          <w:tcPr>
            <w:tcW w:type="dxa" w:w="900"/>
            <w:tcBorders>
              <w:top w:val="single" w:color="B0B0B0" w:sz="4"/>
              <w:left w:val="single" w:color="B0B0B0" w:sz="4"/>
              <w:bottom w:val="single" w:color="B0B0B0" w:sz="4"/>
              <w:right w:val="single" w:color="B0B0B0"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1A1A1A"/>
                <w:sz w:val="18"/>
                <w:szCs w:val="18"/>
              </w:rPr>
              <w:t xml:space="preserve"/>
            </w:r>
          </w:p>
        </w:tc>
        <w:tc>
          <w:tcPr>
            <w:tcW w:type="dxa" w:w="900"/>
            <w:tcBorders>
              <w:top w:val="single" w:color="B0B0B0" w:sz="4"/>
              <w:left w:val="single" w:color="B0B0B0" w:sz="4"/>
              <w:bottom w:val="single" w:color="B0B0B0" w:sz="4"/>
              <w:right w:val="single" w:color="B0B0B0"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1A1A1A"/>
                <w:sz w:val="18"/>
                <w:szCs w:val="18"/>
              </w:rPr>
              <w:t xml:space="preserve"/>
            </w:r>
          </w:p>
        </w:tc>
        <w:tc>
          <w:tcPr>
            <w:tcW w:type="dxa" w:w="900"/>
            <w:tcBorders>
              <w:top w:val="single" w:color="B0B0B0" w:sz="4"/>
              <w:left w:val="single" w:color="B0B0B0" w:sz="4"/>
              <w:bottom w:val="single" w:color="B0B0B0" w:sz="4"/>
              <w:right w:val="single" w:color="B0B0B0"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1A1A1A"/>
                <w:sz w:val="18"/>
                <w:szCs w:val="18"/>
              </w:rPr>
              <w:t xml:space="preserve"/>
            </w:r>
          </w:p>
        </w:tc>
        <w:tc>
          <w:tcPr>
            <w:tcW w:type="dxa" w:w="900"/>
            <w:tcBorders>
              <w:top w:val="single" w:color="B0B0B0" w:sz="4"/>
              <w:left w:val="single" w:color="B0B0B0" w:sz="4"/>
              <w:bottom w:val="single" w:color="B0B0B0" w:sz="4"/>
              <w:right w:val="single" w:color="B0B0B0"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1A1A1A"/>
                <w:sz w:val="18"/>
                <w:szCs w:val="18"/>
              </w:rPr>
              <w:t xml:space="preserve"/>
            </w:r>
          </w:p>
        </w:tc>
        <w:tc>
          <w:tcPr>
            <w:tcW w:type="dxa" w:w="900"/>
            <w:tcBorders>
              <w:top w:val="single" w:color="B0B0B0" w:sz="4"/>
              <w:left w:val="single" w:color="B0B0B0" w:sz="4"/>
              <w:bottom w:val="single" w:color="B0B0B0" w:sz="4"/>
              <w:right w:val="single" w:color="B0B0B0" w:sz="4"/>
            </w:tcBorders>
            <w:shd w:fill="D9E2F3" w:val="clear"/>
            <w:tcMar>
              <w:top w:type="dxa" w:w="60"/>
              <w:left w:type="dxa" w:w="100"/>
              <w:bottom w:type="dxa" w:w="60"/>
              <w:right w:type="dxa" w:w="100"/>
            </w:tcMar>
            <w:vAlign w:val="center"/>
          </w:tcPr>
          <w:p>
            <w:pPr>
              <w:jc w:val="center"/>
            </w:pPr>
            <w:r>
              <w:rPr>
                <w:rFonts w:ascii="Arial" w:cs="Arial" w:eastAsia="Arial" w:hAnsi="Arial"/>
                <w:b/>
                <w:bCs/>
                <w:i w:val="false"/>
                <w:iCs w:val="false"/>
                <w:color w:val="1F3864"/>
                <w:sz w:val="18"/>
                <w:szCs w:val="18"/>
              </w:rPr>
              <w:t xml:space="preserve">X</w:t>
            </w:r>
          </w:p>
        </w:tc>
        <w:tc>
          <w:tcPr>
            <w:tcW w:type="dxa" w:w="900"/>
            <w:tcBorders>
              <w:top w:val="single" w:color="B0B0B0" w:sz="4"/>
              <w:left w:val="single" w:color="B0B0B0" w:sz="4"/>
              <w:bottom w:val="single" w:color="B0B0B0" w:sz="4"/>
              <w:right w:val="single" w:color="B0B0B0"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1A1A1A"/>
                <w:sz w:val="18"/>
                <w:szCs w:val="18"/>
              </w:rPr>
              <w:t xml:space="preserve"/>
            </w:r>
          </w:p>
        </w:tc>
        <w:tc>
          <w:tcPr>
            <w:tcW w:type="dxa" w:w="166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1A1A1A"/>
                <w:sz w:val="17"/>
                <w:szCs w:val="17"/>
              </w:rPr>
              <w:t xml:space="preserve">Kevin Obando</w:t>
            </w:r>
          </w:p>
        </w:tc>
      </w:tr>
      <w:tr>
        <w:tc>
          <w:tcPr>
            <w:tcW w:type="dxa" w:w="5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1A1A1A"/>
                <w:sz w:val="18"/>
                <w:szCs w:val="18"/>
              </w:rPr>
              <w:t xml:space="preserve">6</w:t>
            </w:r>
          </w:p>
        </w:tc>
        <w:tc>
          <w:tcPr>
            <w:tcW w:type="dxa" w:w="250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1A1A1A"/>
                <w:sz w:val="17"/>
                <w:szCs w:val="17"/>
              </w:rPr>
              <w:t xml:space="preserve">Pruebas de usuario, correcciones finales, documentación y entrega del proyecto</w:t>
            </w:r>
          </w:p>
        </w:tc>
        <w:tc>
          <w:tcPr>
            <w:tcW w:type="dxa" w:w="900"/>
            <w:tcBorders>
              <w:top w:val="single" w:color="B0B0B0" w:sz="4"/>
              <w:left w:val="single" w:color="B0B0B0" w:sz="4"/>
              <w:bottom w:val="single" w:color="B0B0B0" w:sz="4"/>
              <w:right w:val="single" w:color="B0B0B0"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1A1A1A"/>
                <w:sz w:val="18"/>
                <w:szCs w:val="18"/>
              </w:rPr>
              <w:t xml:space="preserve"/>
            </w:r>
          </w:p>
        </w:tc>
        <w:tc>
          <w:tcPr>
            <w:tcW w:type="dxa" w:w="900"/>
            <w:tcBorders>
              <w:top w:val="single" w:color="B0B0B0" w:sz="4"/>
              <w:left w:val="single" w:color="B0B0B0" w:sz="4"/>
              <w:bottom w:val="single" w:color="B0B0B0" w:sz="4"/>
              <w:right w:val="single" w:color="B0B0B0"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1A1A1A"/>
                <w:sz w:val="18"/>
                <w:szCs w:val="18"/>
              </w:rPr>
              <w:t xml:space="preserve"/>
            </w:r>
          </w:p>
        </w:tc>
        <w:tc>
          <w:tcPr>
            <w:tcW w:type="dxa" w:w="900"/>
            <w:tcBorders>
              <w:top w:val="single" w:color="B0B0B0" w:sz="4"/>
              <w:left w:val="single" w:color="B0B0B0" w:sz="4"/>
              <w:bottom w:val="single" w:color="B0B0B0" w:sz="4"/>
              <w:right w:val="single" w:color="B0B0B0"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1A1A1A"/>
                <w:sz w:val="18"/>
                <w:szCs w:val="18"/>
              </w:rPr>
              <w:t xml:space="preserve"/>
            </w:r>
          </w:p>
        </w:tc>
        <w:tc>
          <w:tcPr>
            <w:tcW w:type="dxa" w:w="900"/>
            <w:tcBorders>
              <w:top w:val="single" w:color="B0B0B0" w:sz="4"/>
              <w:left w:val="single" w:color="B0B0B0" w:sz="4"/>
              <w:bottom w:val="single" w:color="B0B0B0" w:sz="4"/>
              <w:right w:val="single" w:color="B0B0B0"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1A1A1A"/>
                <w:sz w:val="18"/>
                <w:szCs w:val="18"/>
              </w:rPr>
              <w:t xml:space="preserve"/>
            </w:r>
          </w:p>
        </w:tc>
        <w:tc>
          <w:tcPr>
            <w:tcW w:type="dxa" w:w="900"/>
            <w:tcBorders>
              <w:top w:val="single" w:color="B0B0B0" w:sz="4"/>
              <w:left w:val="single" w:color="B0B0B0" w:sz="4"/>
              <w:bottom w:val="single" w:color="B0B0B0" w:sz="4"/>
              <w:right w:val="single" w:color="B0B0B0"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1A1A1A"/>
                <w:sz w:val="18"/>
                <w:szCs w:val="18"/>
              </w:rPr>
              <w:t xml:space="preserve"/>
            </w:r>
          </w:p>
        </w:tc>
        <w:tc>
          <w:tcPr>
            <w:tcW w:type="dxa" w:w="900"/>
            <w:tcBorders>
              <w:top w:val="single" w:color="B0B0B0" w:sz="4"/>
              <w:left w:val="single" w:color="B0B0B0" w:sz="4"/>
              <w:bottom w:val="single" w:color="B0B0B0" w:sz="4"/>
              <w:right w:val="single" w:color="B0B0B0" w:sz="4"/>
            </w:tcBorders>
            <w:shd w:fill="D9E2F3" w:val="clear"/>
            <w:tcMar>
              <w:top w:type="dxa" w:w="60"/>
              <w:left w:type="dxa" w:w="100"/>
              <w:bottom w:type="dxa" w:w="60"/>
              <w:right w:type="dxa" w:w="100"/>
            </w:tcMar>
            <w:vAlign w:val="center"/>
          </w:tcPr>
          <w:p>
            <w:pPr>
              <w:jc w:val="center"/>
            </w:pPr>
            <w:r>
              <w:rPr>
                <w:rFonts w:ascii="Arial" w:cs="Arial" w:eastAsia="Arial" w:hAnsi="Arial"/>
                <w:b/>
                <w:bCs/>
                <w:i w:val="false"/>
                <w:iCs w:val="false"/>
                <w:color w:val="1F3864"/>
                <w:sz w:val="18"/>
                <w:szCs w:val="18"/>
              </w:rPr>
              <w:t xml:space="preserve">X</w:t>
            </w:r>
          </w:p>
        </w:tc>
        <w:tc>
          <w:tcPr>
            <w:tcW w:type="dxa" w:w="1660"/>
            <w:tcBorders>
              <w:top w:val="single" w:color="B0B0B0" w:sz="4"/>
              <w:left w:val="single" w:color="B0B0B0" w:sz="4"/>
              <w:bottom w:val="single" w:color="B0B0B0" w:sz="4"/>
              <w:right w:val="single" w:color="B0B0B0" w:sz="4"/>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1A1A1A"/>
                <w:sz w:val="17"/>
                <w:szCs w:val="17"/>
              </w:rPr>
              <w:t xml:space="preserve">Kevin Obando</w:t>
            </w:r>
          </w:p>
        </w:tc>
      </w:tr>
    </w:tbl>
    <w:p>
      <w:pPr>
        <w:spacing w:after="60" w:before="60"/>
      </w:pPr>
      <w:r>
        <w:t xml:space="preserve"/>
      </w:r>
    </w:p>
    <w:p>
      <w:pPr>
        <w:pBdr>
          <w:top w:val="single" w:color="7B5E2A" w:sz="8" w:space="0"/>
        </w:pBdr>
        <w:shd w:fill="1F3864" w:val="clear"/>
        <w:spacing w:after="100" w:before="220"/>
        <w:ind w:left="120" w:right="120"/>
      </w:pPr>
      <w:r>
        <w:rPr>
          <w:rFonts w:ascii="Arial" w:cs="Arial" w:eastAsia="Arial" w:hAnsi="Arial"/>
          <w:b/>
          <w:bCs/>
          <w:color w:val="FFFFFF"/>
          <w:sz w:val="22"/>
          <w:szCs w:val="22"/>
        </w:rPr>
        <w:t xml:space="preserve">10. Presupuesto</w:t>
      </w:r>
    </w:p>
    <w:p>
      <w:pPr>
        <w:spacing w:after="60" w:before="60"/>
      </w:pPr>
      <w:r>
        <w:t xml:space="preserve"/>
      </w:r>
    </w:p>
    <w:p>
      <w:pPr>
        <w:spacing w:after="60" w:before="60" w:line="276"/>
        <w:jc w:val="both"/>
      </w:pPr>
      <w:r>
        <w:rPr>
          <w:rFonts w:ascii="Arial" w:cs="Arial" w:eastAsia="Arial" w:hAnsi="Arial"/>
          <w:b w:val="false"/>
          <w:bCs w:val="false"/>
          <w:i w:val="false"/>
          <w:iCs w:val="false"/>
          <w:color w:val="1A1A1A"/>
          <w:sz w:val="20"/>
          <w:szCs w:val="20"/>
        </w:rPr>
        <w:t xml:space="preserve">El detalle del presupuesto del proyecto se encuentra en el anexo correspondiente: "Plantilla Presupuesto — Desarrollo de Proyecto.xls", conforme a las instrucciones del formato Talento Tech 2024.</w:t>
      </w:r>
    </w:p>
    <w:p>
      <w:pPr>
        <w:spacing w:after="60" w:before="60" w:line="276"/>
        <w:jc w:val="both"/>
      </w:pPr>
      <w:r>
        <w:rPr>
          <w:rFonts w:ascii="Arial" w:cs="Arial" w:eastAsia="Arial" w:hAnsi="Arial"/>
          <w:b w:val="false"/>
          <w:bCs w:val="false"/>
          <w:i w:val="false"/>
          <w:iCs w:val="false"/>
          <w:color w:val="1A1A1A"/>
          <w:sz w:val="20"/>
          <w:szCs w:val="20"/>
        </w:rPr>
        <w:t xml:space="preserve">En términos generales, el proyecto tiene los siguientes componentes de costo:</w:t>
      </w:r>
    </w:p>
    <w:p>
      <w:pPr>
        <w:pStyle w:val="ListParagraph"/>
        <w:numPr>
          <w:ilvl w:val="0"/>
          <w:numId w:val="3"/>
        </w:numPr>
        <w:spacing w:after="60" w:before="60" w:line="276"/>
        <w:jc w:val="both"/>
      </w:pPr>
      <w:r>
        <w:rPr>
          <w:rFonts w:ascii="Arial" w:cs="Arial" w:eastAsia="Arial" w:hAnsi="Arial"/>
          <w:b w:val="false"/>
          <w:bCs w:val="false"/>
          <w:i w:val="false"/>
          <w:iCs w:val="false"/>
          <w:color w:val="1A1A1A"/>
          <w:sz w:val="20"/>
          <w:szCs w:val="20"/>
        </w:rPr>
        <w:t xml:space="preserve">Recursos humanos: tiempo de desarrollo del estudiante (Kevin Eduardo Obando Santander) durante 6 semanas, en el marco del programa Talento Tech.</w:t>
      </w:r>
    </w:p>
    <w:p>
      <w:pPr>
        <w:pStyle w:val="ListParagraph"/>
        <w:numPr>
          <w:ilvl w:val="0"/>
          <w:numId w:val="3"/>
        </w:numPr>
        <w:spacing w:after="60" w:before="60" w:line="276"/>
        <w:jc w:val="both"/>
      </w:pPr>
      <w:r>
        <w:rPr>
          <w:rFonts w:ascii="Arial" w:cs="Arial" w:eastAsia="Arial" w:hAnsi="Arial"/>
          <w:b w:val="false"/>
          <w:bCs w:val="false"/>
          <w:i w:val="false"/>
          <w:iCs w:val="false"/>
          <w:color w:val="1A1A1A"/>
          <w:sz w:val="20"/>
          <w:szCs w:val="20"/>
        </w:rPr>
        <w:t xml:space="preserve">Infraestructura tecnológica: ningún costo adicional. La aplicación funciona directamente en el navegador del dispositivo del usuario, sin requerir hosting, dominio ni licencias de software de terceros en esta versión.</w:t>
      </w:r>
    </w:p>
    <w:p>
      <w:pPr>
        <w:pStyle w:val="ListParagraph"/>
        <w:numPr>
          <w:ilvl w:val="0"/>
          <w:numId w:val="3"/>
        </w:numPr>
        <w:spacing w:after="60" w:before="60" w:line="276"/>
        <w:jc w:val="both"/>
      </w:pPr>
      <w:r>
        <w:rPr>
          <w:rFonts w:ascii="Arial" w:cs="Arial" w:eastAsia="Arial" w:hAnsi="Arial"/>
          <w:b w:val="false"/>
          <w:bCs w:val="false"/>
          <w:i w:val="false"/>
          <w:iCs w:val="false"/>
          <w:color w:val="1A1A1A"/>
          <w:sz w:val="20"/>
          <w:szCs w:val="20"/>
        </w:rPr>
        <w:t xml:space="preserve">Herramientas de desarrollo: todas las tecnologías utilizadas (HTML, CSS, JavaScript, Chart.js) son de uso libre y gratuito.</w:t>
      </w:r>
    </w:p>
    <w:p>
      <w:pPr>
        <w:pStyle w:val="ListParagraph"/>
        <w:numPr>
          <w:ilvl w:val="0"/>
          <w:numId w:val="3"/>
        </w:numPr>
        <w:spacing w:after="60" w:before="60" w:line="276"/>
        <w:jc w:val="both"/>
      </w:pPr>
      <w:r>
        <w:rPr>
          <w:rFonts w:ascii="Arial" w:cs="Arial" w:eastAsia="Arial" w:hAnsi="Arial"/>
          <w:b w:val="false"/>
          <w:bCs w:val="false"/>
          <w:i w:val="false"/>
          <w:iCs w:val="false"/>
          <w:color w:val="1A1A1A"/>
          <w:sz w:val="20"/>
          <w:szCs w:val="20"/>
        </w:rPr>
        <w:t xml:space="preserve">Capacitación del equipo: sesión de introducción al uso de la app con el CEO y los colaboradores de Perfum Plus, sin costo adicional.</w:t>
      </w:r>
    </w:p>
    <w:p>
      <w:pPr>
        <w:spacing w:after="60" w:before="60"/>
      </w:pPr>
      <w:r>
        <w:t xml:space="preserve"/>
      </w:r>
    </w:p>
    <w:p>
      <w:pPr>
        <w:spacing w:before="400"/>
        <w:jc w:val="center"/>
      </w:pPr>
      <w:r>
        <w:rPr>
          <w:rFonts w:ascii="Arial" w:cs="Arial" w:eastAsia="Arial" w:hAnsi="Arial"/>
          <w:i/>
          <w:iCs/>
          <w:color w:val="888888"/>
          <w:sz w:val="16"/>
          <w:szCs w:val="16"/>
        </w:rPr>
        <w:t xml:space="preserve">Documento preparado por Kevin Eduardo Obando Santander · Talento Tech 2024 — MinTIC · Cohorte 1 · 2026</w:t>
      </w:r>
    </w:p>
    <w:sectPr>
      <w:head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1"/>
      </w:pBdr>
      <w:tabs>
        <w:tab w:val="right" w:pos="9026"/>
      </w:tabs>
    </w:pPr>
    <w:r>
      <w:rPr>
        <w:rFonts w:ascii="Arial" w:cs="Arial" w:eastAsia="Arial" w:hAnsi="Arial"/>
        <w:b/>
        <w:bCs/>
        <w:color w:val="1F3864"/>
        <w:sz w:val="16"/>
        <w:szCs w:val="16"/>
      </w:rPr>
      <w:t xml:space="preserve">TALENTO TECH 2024 — MinTIC  |  Plan de Proyecto TI</w:t>
    </w:r>
    <w:r>
      <w:rPr>
        <w:rFonts w:ascii="Arial" w:cs="Arial" w:eastAsia="Arial" w:hAnsi="Arial"/>
        <w:sz w:val="16"/>
        <w:szCs w:val="16"/>
      </w:rPr>
      <w:t xml:space="preserve">	</w:t>
    </w:r>
    <w:r>
      <w:rPr>
        <w:rFonts w:ascii="Arial" w:cs="Arial" w:eastAsia="Arial" w:hAnsi="Arial"/>
        <w:color w:val="1F3864"/>
        <w:sz w:val="16"/>
        <w:szCs w:val="16"/>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2026-04-17T01:44:49.624Z</dcterms:created>
  <dcterms:modified xsi:type="dcterms:W3CDTF">2026-04-17T01:44:49.624Z</dcterms:modified>
</cp:coreProperties>
</file>

<file path=docProps/custom.xml><?xml version="1.0" encoding="utf-8"?>
<Properties xmlns="http://schemas.openxmlformats.org/officeDocument/2006/custom-properties" xmlns:vt="http://schemas.openxmlformats.org/officeDocument/2006/docPropsVTypes"/>
</file>