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/>
    <w:p/>
    <w:p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瓴犀微服务平台系统设计</w:t>
      </w:r>
    </w:p>
    <w:p>
      <w:pPr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报表服务</w:t>
      </w:r>
    </w:p>
    <w:p/>
    <w:p/>
    <w:p/>
    <w:p/>
    <w:p/>
    <w:p/>
    <w:p/>
    <w:p/>
    <w:p>
      <w:pPr>
        <w:jc w:val="center"/>
        <w:rPr>
          <w:b/>
          <w:bCs/>
        </w:rPr>
      </w:pPr>
      <w:r>
        <w:rPr>
          <w:rFonts w:hint="eastAsia"/>
          <w:b/>
          <w:bCs/>
        </w:rPr>
        <w:t>广州数商云科技有限公司</w:t>
      </w:r>
    </w:p>
    <w:p>
      <w:pPr>
        <w:jc w:val="center"/>
        <w:rPr>
          <w:rFonts w:hint="default"/>
          <w:b/>
          <w:bCs/>
        </w:rPr>
      </w:pPr>
      <w:r>
        <w:rPr>
          <w:rFonts w:hint="eastAsia"/>
          <w:b/>
          <w:bCs/>
        </w:rPr>
        <w:t>2</w:t>
      </w:r>
      <w:r>
        <w:rPr>
          <w:b/>
          <w:bCs/>
        </w:rPr>
        <w:t>02</w:t>
      </w:r>
      <w:r>
        <w:rPr>
          <w:rFonts w:hint="default"/>
          <w:b/>
          <w:bCs/>
        </w:rPr>
        <w:t>4</w:t>
      </w:r>
      <w:r>
        <w:rPr>
          <w:rFonts w:hint="eastAsia"/>
          <w:b/>
          <w:bCs/>
        </w:rPr>
        <w:t>-0</w:t>
      </w:r>
      <w:r>
        <w:rPr>
          <w:rFonts w:hint="default"/>
          <w:b/>
          <w:bCs/>
        </w:rPr>
        <w:t>9</w:t>
      </w:r>
      <w:r>
        <w:rPr>
          <w:rFonts w:hint="eastAsia"/>
          <w:b/>
          <w:bCs/>
        </w:rPr>
        <w:t>-0</w:t>
      </w:r>
      <w:r>
        <w:rPr>
          <w:rFonts w:hint="default"/>
          <w:b/>
          <w:bCs/>
        </w:rPr>
        <w:t>3</w:t>
      </w:r>
    </w:p>
    <w:p>
      <w:pPr>
        <w:jc w:val="center"/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修订记录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701"/>
        <w:gridCol w:w="1276"/>
        <w:gridCol w:w="3906"/>
      </w:tblGrid>
      <w:tr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修订人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39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修订说明</w:t>
            </w:r>
          </w:p>
        </w:tc>
      </w:tr>
      <w:tr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伍将、姚梓聪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1.01.0</w:t>
            </w:r>
            <w:r>
              <w:t>6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.0.0</w:t>
            </w:r>
          </w:p>
        </w:tc>
        <w:tc>
          <w:tcPr>
            <w:tcW w:w="39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初稿</w:t>
            </w:r>
          </w:p>
        </w:tc>
      </w:tr>
      <w:tr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  <w:rPr>
                <w:rFonts w:hint="default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陈建伟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hint="default"/>
              </w:rPr>
            </w:pPr>
            <w:r>
              <w:rPr>
                <w:rFonts w:hint="default"/>
              </w:rPr>
              <w:t>2024.09.03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hint="default" w:eastAsia="宋体"/>
                <w:lang w:eastAsia="zh-Hans"/>
              </w:rPr>
            </w:pPr>
            <w:r>
              <w:rPr>
                <w:rFonts w:hint="default"/>
              </w:rPr>
              <w:t>3.0.0</w:t>
            </w:r>
          </w:p>
        </w:tc>
        <w:tc>
          <w:tcPr>
            <w:tcW w:w="3906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修订</w:t>
            </w:r>
          </w:p>
        </w:tc>
      </w:tr>
      <w:tr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</w:pPr>
          </w:p>
        </w:tc>
        <w:tc>
          <w:tcPr>
            <w:tcW w:w="1701" w:type="dxa"/>
            <w:vAlign w:val="center"/>
          </w:tcPr>
          <w:p>
            <w:pPr>
              <w:jc w:val="center"/>
            </w:pPr>
          </w:p>
        </w:tc>
        <w:tc>
          <w:tcPr>
            <w:tcW w:w="1276" w:type="dxa"/>
            <w:vAlign w:val="center"/>
          </w:tcPr>
          <w:p>
            <w:pPr>
              <w:jc w:val="center"/>
            </w:pPr>
          </w:p>
        </w:tc>
        <w:tc>
          <w:tcPr>
            <w:tcW w:w="3906" w:type="dxa"/>
            <w:vAlign w:val="center"/>
          </w:tcPr>
          <w:p>
            <w:pPr>
              <w:jc w:val="center"/>
            </w:pPr>
          </w:p>
        </w:tc>
      </w:tr>
    </w:tbl>
    <w:p/>
    <w:p>
      <w:pPr>
        <w:sectPr>
          <w:headerReference r:id="rId7" w:type="default"/>
          <w:footerReference r:id="rId8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eastAsia="宋体" w:asciiTheme="minorHAnsi" w:hAnsiTheme="minorHAnsi" w:cstheme="minorBidi"/>
          <w:color w:val="auto"/>
          <w:kern w:val="2"/>
          <w:sz w:val="24"/>
          <w:szCs w:val="22"/>
          <w:lang w:val="zh-CN"/>
        </w:rPr>
        <w:id w:val="1074164390"/>
        <w:docPartObj>
          <w:docPartGallery w:val="Table of Contents"/>
          <w:docPartUnique/>
        </w:docPartObj>
      </w:sdtPr>
      <w:sdtEndPr>
        <w:rPr>
          <w:rFonts w:eastAsia="宋体" w:asciiTheme="minorHAnsi" w:hAnsiTheme="minorHAnsi" w:cstheme="minorBidi"/>
          <w:b/>
          <w:bCs/>
          <w:color w:val="auto"/>
          <w:kern w:val="2"/>
          <w:sz w:val="24"/>
          <w:szCs w:val="22"/>
          <w:lang w:val="zh-CN"/>
        </w:rPr>
      </w:sdtEndPr>
      <w:sdtContent>
        <w:p>
          <w:pPr>
            <w:pStyle w:val="26"/>
            <w:numPr>
              <w:ilvl w:val="0"/>
              <w:numId w:val="0"/>
            </w:numPr>
            <w:ind w:left="432" w:hanging="432"/>
          </w:pPr>
          <w:r>
            <w:rPr>
              <w:lang w:val="zh-CN"/>
            </w:rPr>
            <w:t>目录</w:t>
          </w:r>
        </w:p>
        <w:p>
          <w:pPr>
            <w:pStyle w:val="15"/>
            <w:tabs>
              <w:tab w:val="right" w:leader="dot" w:pos="8306"/>
            </w:tabs>
          </w:pPr>
          <w:bookmarkStart w:id="42" w:name="_GoBack"/>
          <w:bookmarkEnd w:id="42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_Toc2005515503 </w:instrText>
          </w:r>
          <w:r>
            <w:fldChar w:fldCharType="separate"/>
          </w:r>
          <w:r>
            <w:rPr>
              <w:rFonts w:hint="eastAsia"/>
            </w:rPr>
            <w:t>1 概述</w:t>
          </w:r>
          <w:r>
            <w:tab/>
          </w:r>
          <w:r>
            <w:fldChar w:fldCharType="begin"/>
          </w:r>
          <w:r>
            <w:instrText xml:space="preserve"> PAGEREF _Toc2005515503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_Toc1943219256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1.1 功能说明</w:t>
          </w:r>
          <w:r>
            <w:tab/>
          </w:r>
          <w:r>
            <w:fldChar w:fldCharType="begin"/>
          </w:r>
          <w:r>
            <w:instrText xml:space="preserve"> PAGEREF _Toc1943219256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_Toc754732016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1.2 参考文档</w:t>
          </w:r>
          <w:r>
            <w:tab/>
          </w:r>
          <w:r>
            <w:fldChar w:fldCharType="begin"/>
          </w:r>
          <w:r>
            <w:instrText xml:space="preserve"> PAGEREF _Toc754732016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_Toc1742573730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1.3 文档说明</w:t>
          </w:r>
          <w:r>
            <w:tab/>
          </w:r>
          <w:r>
            <w:fldChar w:fldCharType="begin"/>
          </w:r>
          <w:r>
            <w:instrText xml:space="preserve"> PAGEREF _Toc1742573730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_Toc54702324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 技术架构</w:t>
          </w:r>
          <w:r>
            <w:tab/>
          </w:r>
          <w:r>
            <w:fldChar w:fldCharType="begin"/>
          </w:r>
          <w:r>
            <w:instrText xml:space="preserve"> PAGEREF _Toc54702324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_Toc258958552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 开发组件</w:t>
          </w:r>
          <w:r>
            <w:tab/>
          </w:r>
          <w:r>
            <w:fldChar w:fldCharType="begin"/>
          </w:r>
          <w:r>
            <w:instrText xml:space="preserve"> PAGEREF _Toc258958552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_Toc1514514642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2.1.1 微服务组件</w:t>
          </w:r>
          <w:r>
            <w:tab/>
          </w:r>
          <w:r>
            <w:fldChar w:fldCharType="begin"/>
          </w:r>
          <w:r>
            <w:instrText xml:space="preserve"> PAGEREF _Toc1514514642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_Toc323920203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2.1.2 核心组件</w:t>
          </w:r>
          <w:r>
            <w:tab/>
          </w:r>
          <w:r>
            <w:fldChar w:fldCharType="begin"/>
          </w:r>
          <w:r>
            <w:instrText xml:space="preserve"> PAGEREF _Toc323920203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_Toc255806676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2.1.3 第三方组件</w:t>
          </w:r>
          <w:r>
            <w:tab/>
          </w:r>
          <w:r>
            <w:fldChar w:fldCharType="begin"/>
          </w:r>
          <w:r>
            <w:instrText xml:space="preserve"> PAGEREF _Toc255806676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_Toc80542238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 关联服务</w:t>
          </w:r>
          <w:r>
            <w:tab/>
          </w:r>
          <w:r>
            <w:fldChar w:fldCharType="begin"/>
          </w:r>
          <w:r>
            <w:instrText xml:space="preserve"> PAGEREF _Toc80542238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_Toc758696456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2.3 接口定义</w:t>
          </w:r>
          <w:r>
            <w:tab/>
          </w:r>
          <w:r>
            <w:fldChar w:fldCharType="begin"/>
          </w:r>
          <w:r>
            <w:instrText xml:space="preserve"> PAGEREF _Toc758696456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_Toc1800923753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2.4 系统日志</w:t>
          </w:r>
          <w:r>
            <w:tab/>
          </w:r>
          <w:r>
            <w:fldChar w:fldCharType="begin"/>
          </w:r>
          <w:r>
            <w:instrText xml:space="preserve"> PAGEREF _Toc1800923753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_Toc1490995853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2.5 异常处理</w:t>
          </w:r>
          <w:r>
            <w:tab/>
          </w:r>
          <w:r>
            <w:fldChar w:fldCharType="begin"/>
          </w:r>
          <w:r>
            <w:instrText xml:space="preserve"> PAGEREF _Toc1490995853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_Toc180624528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 系统设计</w:t>
          </w:r>
          <w:r>
            <w:tab/>
          </w:r>
          <w:r>
            <w:fldChar w:fldCharType="begin"/>
          </w:r>
          <w:r>
            <w:instrText xml:space="preserve"> PAGEREF _Toc180624528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_Toc1362048885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 会员代办统计</w:t>
          </w:r>
          <w:r>
            <w:tab/>
          </w:r>
          <w:r>
            <w:fldChar w:fldCharType="begin"/>
          </w:r>
          <w:r>
            <w:instrText xml:space="preserve"> PAGEREF _Toc1362048885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_Toc1927416822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3.2 结算数据统计</w:t>
          </w:r>
          <w:r>
            <w:tab/>
          </w:r>
          <w:r>
            <w:fldChar w:fldCharType="begin"/>
          </w:r>
          <w:r>
            <w:instrText xml:space="preserve"> PAGEREF _Toc1927416822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_Toc1451196006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3.3 每日新增数据统计</w:t>
          </w:r>
          <w:r>
            <w:tab/>
          </w:r>
          <w:r>
            <w:fldChar w:fldCharType="begin"/>
          </w:r>
          <w:r>
            <w:instrText xml:space="preserve"> PAGEREF _Toc1451196006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_Toc1279493863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3.4 会员注册趋势统计</w:t>
          </w:r>
          <w:r>
            <w:tab/>
          </w:r>
          <w:r>
            <w:fldChar w:fldCharType="begin"/>
          </w:r>
          <w:r>
            <w:instrText xml:space="preserve"> PAGEREF _Toc1279493863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_Toc1699598030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3.5 订单趋势统计</w:t>
          </w:r>
          <w:r>
            <w:tab/>
          </w:r>
          <w:r>
            <w:fldChar w:fldCharType="begin"/>
          </w:r>
          <w:r>
            <w:instrText xml:space="preserve"> PAGEREF _Toc1699598030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_Toc1464101463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 核心流程设计</w:t>
          </w:r>
          <w:r>
            <w:tab/>
          </w:r>
          <w:r>
            <w:fldChar w:fldCharType="begin"/>
          </w:r>
          <w:r>
            <w:instrText xml:space="preserve"> PAGEREF _Toc1464101463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_Toc1285661315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4.1 结算报表统计</w:t>
          </w:r>
          <w:r>
            <w:tab/>
          </w:r>
          <w:r>
            <w:fldChar w:fldCharType="begin"/>
          </w:r>
          <w:r>
            <w:instrText xml:space="preserve"> PAGEREF _Toc1285661315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_Toc129265091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4.1.1 平台代收账款结算统计</w:t>
          </w:r>
          <w:r>
            <w:tab/>
          </w:r>
          <w:r>
            <w:fldChar w:fldCharType="begin"/>
          </w:r>
          <w:r>
            <w:instrText xml:space="preserve"> PAGEREF _Toc129265091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_Toc1452417320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4.1.2 平台积分结算统计</w:t>
          </w:r>
          <w:r>
            <w:tab/>
          </w:r>
          <w:r>
            <w:fldChar w:fldCharType="begin"/>
          </w:r>
          <w:r>
            <w:instrText xml:space="preserve"> PAGEREF _Toc1452417320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_Toc331281791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4.1.3 会员物流结算统计</w:t>
          </w:r>
          <w:r>
            <w:tab/>
          </w:r>
          <w:r>
            <w:fldChar w:fldCharType="begin"/>
          </w:r>
          <w:r>
            <w:instrText xml:space="preserve"> PAGEREF _Toc331281791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_Toc1575448313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4.1.4 会员加工结算统计</w:t>
          </w:r>
          <w:r>
            <w:tab/>
          </w:r>
          <w:r>
            <w:fldChar w:fldCharType="begin"/>
          </w:r>
          <w:r>
            <w:instrText xml:space="preserve"> PAGEREF _Toc1575448313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_Toc86429081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4.1.5 结算数据流转</w:t>
          </w:r>
          <w:r>
            <w:tab/>
          </w:r>
          <w:r>
            <w:fldChar w:fldCharType="begin"/>
          </w:r>
          <w:r>
            <w:instrText xml:space="preserve"> PAGEREF _Toc86429081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_Toc914618995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4.1.6 站内消息</w:t>
          </w:r>
          <w:r>
            <w:tab/>
          </w:r>
          <w:r>
            <w:fldChar w:fldCharType="begin"/>
          </w:r>
          <w:r>
            <w:instrText xml:space="preserve"> PAGEREF _Toc914618995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_Toc313503739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 数据库设计</w:t>
          </w:r>
          <w:r>
            <w:tab/>
          </w:r>
          <w:r>
            <w:fldChar w:fldCharType="begin"/>
          </w:r>
          <w:r>
            <w:instrText xml:space="preserve"> PAGEREF _Toc313503739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_Toc1279955282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5.1 说明</w:t>
          </w:r>
          <w:r>
            <w:tab/>
          </w:r>
          <w:r>
            <w:fldChar w:fldCharType="begin"/>
          </w:r>
          <w:r>
            <w:instrText xml:space="preserve"> PAGEREF _Toc1279955282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_Toc864732575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5.2 表清单</w:t>
          </w:r>
          <w:r>
            <w:tab/>
          </w:r>
          <w:r>
            <w:fldChar w:fldCharType="begin"/>
          </w:r>
          <w:r>
            <w:instrText xml:space="preserve"> PAGEREF _Toc864732575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_Toc1538548776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5.3 表定义</w:t>
          </w:r>
          <w:r>
            <w:tab/>
          </w:r>
          <w:r>
            <w:fldChar w:fldCharType="begin"/>
          </w:r>
          <w:r>
            <w:instrText xml:space="preserve"> PAGEREF _Toc1538548776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_Toc538684705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5.3.1 数据初始化表</w:t>
          </w:r>
          <w:r>
            <w:tab/>
          </w:r>
          <w:r>
            <w:fldChar w:fldCharType="begin"/>
          </w:r>
          <w:r>
            <w:instrText xml:space="preserve"> PAGEREF _Toc538684705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_Toc2030264830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6 服务部署</w:t>
          </w:r>
          <w:r>
            <w:tab/>
          </w:r>
          <w:r>
            <w:fldChar w:fldCharType="begin"/>
          </w:r>
          <w:r>
            <w:instrText xml:space="preserve"> PAGEREF _Toc2030264830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_Toc1293330627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6.1 数据初始化</w:t>
          </w:r>
          <w:r>
            <w:tab/>
          </w:r>
          <w:r>
            <w:fldChar w:fldCharType="begin"/>
          </w:r>
          <w:r>
            <w:instrText xml:space="preserve"> PAGEREF _Toc1293330627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_Toc178373055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6.2 服务启动依赖</w:t>
          </w:r>
          <w:r>
            <w:tab/>
          </w:r>
          <w:r>
            <w:fldChar w:fldCharType="begin"/>
          </w:r>
          <w:r>
            <w:instrText xml:space="preserve"> PAGEREF _Toc178373055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_Toc28764173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7 附录</w:t>
          </w:r>
          <w:r>
            <w:tab/>
          </w:r>
          <w:r>
            <w:fldChar w:fldCharType="begin"/>
          </w:r>
          <w:r>
            <w:instrText xml:space="preserve"> PAGEREF _Toc28764173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_Toc255635036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7.1 接口返回码</w:t>
          </w:r>
          <w:r>
            <w:tab/>
          </w:r>
          <w:r>
            <w:fldChar w:fldCharType="begin"/>
          </w:r>
          <w:r>
            <w:instrText xml:space="preserve"> PAGEREF _Toc255635036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/>
    <w:p>
      <w:pPr>
        <w:sectPr>
          <w:headerReference r:id="rId9" w:type="default"/>
          <w:footerReference r:id="rId10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0" w:name="_Toc2005515503"/>
      <w:r>
        <w:rPr>
          <w:rFonts w:hint="eastAsia"/>
        </w:rPr>
        <w:t>概述</w:t>
      </w:r>
      <w:bookmarkEnd w:id="0"/>
    </w:p>
    <w:p>
      <w:pPr>
        <w:pStyle w:val="3"/>
      </w:pPr>
      <w:bookmarkStart w:id="1" w:name="_Toc1943219256"/>
      <w:r>
        <w:rPr>
          <w:rFonts w:hint="eastAsia"/>
        </w:rPr>
        <w:t>功能说明</w:t>
      </w:r>
      <w:bookmarkEnd w:id="1"/>
    </w:p>
    <w:p>
      <w:pPr>
        <w:ind w:left="420"/>
      </w:pPr>
      <w:r>
        <w:rPr>
          <w:rFonts w:hint="eastAsia"/>
        </w:rPr>
        <w:t>报表服务（服务模块名称：report</w:t>
      </w:r>
      <w:r>
        <w:t>-service</w:t>
      </w:r>
      <w:r>
        <w:rPr>
          <w:rFonts w:hint="eastAsia"/>
        </w:rPr>
        <w:t>）的主要功能有：</w:t>
      </w:r>
    </w:p>
    <w:p>
      <w:pPr>
        <w:pStyle w:val="37"/>
        <w:numPr>
          <w:ilvl w:val="0"/>
          <w:numId w:val="2"/>
        </w:numPr>
        <w:ind w:firstLineChars="0"/>
      </w:pPr>
      <w:r>
        <w:rPr>
          <w:rFonts w:hint="eastAsia"/>
        </w:rPr>
        <w:t>统计业务报表</w:t>
      </w:r>
    </w:p>
    <w:p>
      <w:pPr>
        <w:pStyle w:val="37"/>
        <w:numPr>
          <w:ilvl w:val="0"/>
          <w:numId w:val="2"/>
        </w:numPr>
        <w:ind w:firstLineChars="0"/>
      </w:pPr>
      <w:r>
        <w:rPr>
          <w:rFonts w:hint="eastAsia"/>
        </w:rPr>
        <w:t>结算数据由报表服务统计，并回写结算服务表</w:t>
      </w:r>
    </w:p>
    <w:p>
      <w:pPr>
        <w:pStyle w:val="37"/>
        <w:numPr>
          <w:ilvl w:val="0"/>
          <w:numId w:val="2"/>
        </w:numPr>
        <w:ind w:firstLineChars="0"/>
      </w:pPr>
      <w:r>
        <w:rPr>
          <w:rFonts w:hint="eastAsia"/>
        </w:rPr>
        <w:t>提供</w:t>
      </w:r>
      <w:r>
        <w:t xml:space="preserve">Http </w:t>
      </w:r>
      <w:r>
        <w:rPr>
          <w:rFonts w:hint="eastAsia"/>
        </w:rPr>
        <w:t>接口</w:t>
      </w:r>
      <w:r>
        <w:t>、OpenFeign接口给其他服务查询</w:t>
      </w:r>
      <w:r>
        <w:rPr>
          <w:rFonts w:hint="eastAsia"/>
        </w:rPr>
        <w:t>结果数据</w:t>
      </w:r>
    </w:p>
    <w:p/>
    <w:p>
      <w:pPr>
        <w:pStyle w:val="3"/>
      </w:pPr>
      <w:bookmarkStart w:id="2" w:name="_Toc754732016"/>
      <w:r>
        <w:rPr>
          <w:rFonts w:hint="eastAsia"/>
        </w:rPr>
        <w:t>参考文档</w:t>
      </w:r>
      <w:bookmarkEnd w:id="2"/>
    </w:p>
    <w:p>
      <w:r>
        <w:rPr>
          <w:rFonts w:hint="eastAsia"/>
        </w:rPr>
        <w:t>《瓴犀系统技术白皮书》</w:t>
      </w:r>
    </w:p>
    <w:p>
      <w:r>
        <w:rPr>
          <w:rFonts w:hint="eastAsia"/>
        </w:rPr>
        <w:t>《瓴犀系统接口文档-报表服务》</w:t>
      </w:r>
    </w:p>
    <w:p/>
    <w:p>
      <w:pPr>
        <w:pStyle w:val="3"/>
      </w:pPr>
      <w:bookmarkStart w:id="3" w:name="_Toc1742573730"/>
      <w:r>
        <w:rPr>
          <w:rFonts w:hint="eastAsia"/>
        </w:rPr>
        <w:t>文档说明</w:t>
      </w:r>
      <w:bookmarkEnd w:id="3"/>
    </w:p>
    <w:p>
      <w:pPr>
        <w:ind w:firstLine="420"/>
      </w:pPr>
      <w:r>
        <w:rPr>
          <w:rFonts w:hint="eastAsia"/>
        </w:rPr>
        <w:t>处理各服务消息通知以及统计业务需求报表。数据集中统计，并将结果集数据回写各服务。</w:t>
      </w:r>
    </w:p>
    <w:p/>
    <w:p>
      <w:pPr>
        <w:pStyle w:val="2"/>
      </w:pPr>
      <w:bookmarkStart w:id="4" w:name="_Toc54702324"/>
      <w:r>
        <w:rPr>
          <w:rFonts w:hint="eastAsia"/>
        </w:rPr>
        <w:t>技术架构</w:t>
      </w:r>
      <w:bookmarkEnd w:id="4"/>
    </w:p>
    <w:p>
      <w:pPr>
        <w:pStyle w:val="3"/>
      </w:pPr>
      <w:bookmarkStart w:id="5" w:name="_Toc258958552"/>
      <w:r>
        <w:rPr>
          <w:rFonts w:hint="eastAsia"/>
        </w:rPr>
        <w:t>开发组件</w:t>
      </w:r>
      <w:bookmarkEnd w:id="5"/>
    </w:p>
    <w:p>
      <w:pPr>
        <w:ind w:firstLine="480" w:firstLineChars="200"/>
      </w:pPr>
      <w:r>
        <w:rPr>
          <w:rFonts w:hint="eastAsia"/>
        </w:rPr>
        <w:t>本服务使用S</w:t>
      </w:r>
      <w:r>
        <w:t>pring Boot 2.</w:t>
      </w:r>
      <w:r>
        <w:rPr>
          <w:rFonts w:hint="default"/>
        </w:rPr>
        <w:t>4.4</w:t>
      </w:r>
      <w:r>
        <w:rPr>
          <w:rFonts w:hint="eastAsia"/>
        </w:rPr>
        <w:t>作为开发框架，使用的主要核心组件如下：</w:t>
      </w:r>
    </w:p>
    <w:p>
      <w:pPr>
        <w:pStyle w:val="4"/>
      </w:pPr>
      <w:bookmarkStart w:id="6" w:name="_Toc1514514642"/>
      <w:r>
        <w:rPr>
          <w:rFonts w:hint="eastAsia"/>
        </w:rPr>
        <w:t>微服务组件</w:t>
      </w:r>
      <w:bookmarkEnd w:id="6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1701"/>
        <w:gridCol w:w="34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组件名称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组件版本</w:t>
            </w:r>
          </w:p>
        </w:tc>
        <w:tc>
          <w:tcPr>
            <w:tcW w:w="348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rFonts w:hint="default" w:eastAsia="宋体"/>
                <w:sz w:val="21"/>
                <w:szCs w:val="20"/>
                <w:lang w:eastAsia="zh-Hans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Spring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Cloud Version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</w:rPr>
              <w:t>2020.0.2</w:t>
            </w:r>
          </w:p>
        </w:tc>
        <w:tc>
          <w:tcPr>
            <w:tcW w:w="3481" w:type="dxa"/>
          </w:tcPr>
          <w:p>
            <w:pPr>
              <w:rPr>
                <w:rFonts w:hint="default" w:eastAsia="宋体"/>
                <w:sz w:val="21"/>
                <w:szCs w:val="20"/>
                <w:lang w:val="en-US" w:eastAsia="zh-Hans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主框架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Hans" w:bidi="ar-SA"/>
              </w:rPr>
            </w:pPr>
            <w:r>
              <w:rPr>
                <w:rFonts w:hint="eastAsia"/>
                <w:sz w:val="21"/>
                <w:szCs w:val="20"/>
              </w:rPr>
              <w:t>S</w:t>
            </w:r>
            <w:r>
              <w:rPr>
                <w:sz w:val="21"/>
                <w:szCs w:val="20"/>
              </w:rPr>
              <w:t>pring Cloud OpenFeign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3.0.2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sz w:val="21"/>
                <w:szCs w:val="20"/>
              </w:rPr>
              <w:t>提供微服务集群内部H</w:t>
            </w:r>
            <w:r>
              <w:rPr>
                <w:sz w:val="21"/>
                <w:szCs w:val="20"/>
              </w:rPr>
              <w:t>ttp</w:t>
            </w:r>
            <w:r>
              <w:rPr>
                <w:rFonts w:hint="eastAsia"/>
                <w:sz w:val="21"/>
                <w:szCs w:val="20"/>
              </w:rPr>
              <w:t>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Spring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Cloud loadbalancer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3.0.2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sz w:val="21"/>
                <w:szCs w:val="20"/>
              </w:rPr>
              <w:t>负载均衡器</w:t>
            </w:r>
          </w:p>
        </w:tc>
      </w:tr>
    </w:tbl>
    <w:p/>
    <w:p>
      <w:pPr>
        <w:pStyle w:val="4"/>
      </w:pPr>
      <w:bookmarkStart w:id="7" w:name="_Toc323920203"/>
      <w:r>
        <w:rPr>
          <w:rFonts w:hint="eastAsia"/>
        </w:rPr>
        <w:t>核心组件</w:t>
      </w:r>
      <w:bookmarkEnd w:id="7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1701"/>
        <w:gridCol w:w="34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组件名称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组件版本</w:t>
            </w:r>
          </w:p>
        </w:tc>
        <w:tc>
          <w:tcPr>
            <w:tcW w:w="348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default"/>
                <w:sz w:val="21"/>
                <w:szCs w:val="20"/>
                <w:lang w:eastAsia="zh-Hans"/>
              </w:rPr>
              <w:t xml:space="preserve">Spring Cloud Alibaba </w:t>
            </w:r>
            <w:r>
              <w:rPr>
                <w:rFonts w:hint="eastAsia"/>
                <w:sz w:val="21"/>
                <w:szCs w:val="20"/>
                <w:lang w:val="en-US" w:eastAsia="zh-Hans"/>
              </w:rPr>
              <w:t>Nacos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sz w:val="21"/>
                <w:szCs w:val="20"/>
                <w:lang w:val="en-US" w:eastAsia="zh-Hans"/>
              </w:rPr>
              <w:t>Config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2021.1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配置中心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default"/>
                <w:sz w:val="21"/>
                <w:szCs w:val="20"/>
                <w:lang w:eastAsia="zh-Hans"/>
              </w:rPr>
              <w:t xml:space="preserve">Spring Cloud Alibaba </w:t>
            </w:r>
            <w:r>
              <w:rPr>
                <w:rFonts w:hint="eastAsia"/>
                <w:sz w:val="21"/>
                <w:szCs w:val="20"/>
                <w:lang w:val="en-US" w:eastAsia="zh-Hans"/>
              </w:rPr>
              <w:t>Nacos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Discovery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2021.1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注册中心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default"/>
                <w:sz w:val="21"/>
                <w:szCs w:val="20"/>
                <w:lang w:eastAsia="zh-Hans"/>
              </w:rPr>
              <w:t xml:space="preserve">Spring Cloud Alibaba Sentinel 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2021.1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流量控制、流量路由、熔断降级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S</w:t>
            </w:r>
            <w:r>
              <w:rPr>
                <w:sz w:val="21"/>
                <w:szCs w:val="20"/>
              </w:rPr>
              <w:t>pring Web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</w:rPr>
              <w:t>2.4.4</w:t>
            </w:r>
          </w:p>
        </w:tc>
        <w:tc>
          <w:tcPr>
            <w:tcW w:w="348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提供H</w:t>
            </w:r>
            <w:r>
              <w:rPr>
                <w:sz w:val="21"/>
                <w:szCs w:val="20"/>
              </w:rPr>
              <w:t>ttp</w:t>
            </w:r>
            <w:r>
              <w:rPr>
                <w:rFonts w:hint="eastAsia"/>
                <w:sz w:val="21"/>
                <w:szCs w:val="20"/>
              </w:rPr>
              <w:t>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S</w:t>
            </w:r>
            <w:r>
              <w:rPr>
                <w:sz w:val="21"/>
                <w:szCs w:val="20"/>
              </w:rPr>
              <w:t>pring Data JPA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</w:rPr>
              <w:t>2.4.4</w:t>
            </w:r>
          </w:p>
        </w:tc>
        <w:tc>
          <w:tcPr>
            <w:tcW w:w="348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O</w:t>
            </w:r>
            <w:r>
              <w:rPr>
                <w:sz w:val="21"/>
                <w:szCs w:val="20"/>
              </w:rPr>
              <w:t>RM</w:t>
            </w:r>
            <w:r>
              <w:rPr>
                <w:rFonts w:hint="eastAsia"/>
                <w:sz w:val="21"/>
                <w:szCs w:val="20"/>
              </w:rPr>
              <w:t>框架、H</w:t>
            </w:r>
            <w:r>
              <w:rPr>
                <w:sz w:val="21"/>
                <w:szCs w:val="20"/>
              </w:rPr>
              <w:t>akari</w:t>
            </w:r>
            <w:r>
              <w:rPr>
                <w:rFonts w:hint="eastAsia"/>
                <w:sz w:val="21"/>
                <w:szCs w:val="20"/>
              </w:rPr>
              <w:t>连接池管理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P</w:t>
            </w:r>
            <w:r>
              <w:rPr>
                <w:sz w:val="21"/>
                <w:szCs w:val="20"/>
              </w:rPr>
              <w:t>ostgreSQL Driver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4</w:t>
            </w:r>
            <w:r>
              <w:rPr>
                <w:sz w:val="21"/>
                <w:szCs w:val="20"/>
              </w:rPr>
              <w:t>2.2.1</w:t>
            </w:r>
            <w:r>
              <w:rPr>
                <w:rFonts w:hint="default"/>
                <w:sz w:val="21"/>
                <w:szCs w:val="20"/>
              </w:rPr>
              <w:t>9</w:t>
            </w:r>
          </w:p>
        </w:tc>
        <w:tc>
          <w:tcPr>
            <w:tcW w:w="348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P</w:t>
            </w:r>
            <w:r>
              <w:rPr>
                <w:sz w:val="21"/>
                <w:szCs w:val="20"/>
              </w:rPr>
              <w:t>ostgreSQL JDBC</w:t>
            </w:r>
            <w:r>
              <w:rPr>
                <w:rFonts w:hint="eastAsia"/>
                <w:sz w:val="21"/>
                <w:szCs w:val="20"/>
              </w:rPr>
              <w:t>客户端</w:t>
            </w:r>
          </w:p>
        </w:tc>
      </w:tr>
    </w:tbl>
    <w:p/>
    <w:p>
      <w:pPr>
        <w:pStyle w:val="4"/>
      </w:pPr>
      <w:bookmarkStart w:id="8" w:name="_Toc255806676"/>
      <w:r>
        <w:rPr>
          <w:rFonts w:hint="eastAsia"/>
        </w:rPr>
        <w:t>第三方组件</w:t>
      </w:r>
      <w:bookmarkEnd w:id="8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279"/>
        <w:gridCol w:w="1700"/>
        <w:gridCol w:w="34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组件名称</w:t>
            </w:r>
          </w:p>
        </w:tc>
        <w:tc>
          <w:tcPr>
            <w:tcW w:w="1279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组件版本</w:t>
            </w:r>
          </w:p>
        </w:tc>
        <w:tc>
          <w:tcPr>
            <w:tcW w:w="1700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开源协议</w:t>
            </w:r>
          </w:p>
        </w:tc>
        <w:tc>
          <w:tcPr>
            <w:tcW w:w="3479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>
            <w:pPr>
              <w:jc w:val="center"/>
              <w:rPr>
                <w:sz w:val="21"/>
                <w:szCs w:val="20"/>
              </w:rPr>
            </w:pPr>
          </w:p>
        </w:tc>
        <w:tc>
          <w:tcPr>
            <w:tcW w:w="1279" w:type="dxa"/>
          </w:tcPr>
          <w:p>
            <w:pPr>
              <w:rPr>
                <w:sz w:val="21"/>
                <w:szCs w:val="20"/>
              </w:rPr>
            </w:pPr>
          </w:p>
        </w:tc>
        <w:tc>
          <w:tcPr>
            <w:tcW w:w="1700" w:type="dxa"/>
          </w:tcPr>
          <w:p>
            <w:pPr>
              <w:rPr>
                <w:sz w:val="21"/>
                <w:szCs w:val="20"/>
              </w:rPr>
            </w:pPr>
          </w:p>
        </w:tc>
        <w:tc>
          <w:tcPr>
            <w:tcW w:w="3479" w:type="dxa"/>
          </w:tcPr>
          <w:p>
            <w:pPr>
              <w:rPr>
                <w:sz w:val="21"/>
                <w:szCs w:val="20"/>
              </w:rPr>
            </w:pPr>
          </w:p>
        </w:tc>
      </w:tr>
    </w:tbl>
    <w:p/>
    <w:p>
      <w:pPr>
        <w:pStyle w:val="3"/>
      </w:pPr>
      <w:bookmarkStart w:id="9" w:name="_Toc80542238"/>
      <w:r>
        <w:rPr>
          <w:rFonts w:hint="eastAsia"/>
        </w:rPr>
        <w:t>关联服务</w:t>
      </w:r>
      <w:bookmarkEnd w:id="9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1418"/>
        <w:gridCol w:w="39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72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服务名称</w:t>
            </w:r>
          </w:p>
        </w:tc>
        <w:tc>
          <w:tcPr>
            <w:tcW w:w="1418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关联方式</w:t>
            </w:r>
          </w:p>
        </w:tc>
        <w:tc>
          <w:tcPr>
            <w:tcW w:w="3906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72" w:type="dxa"/>
          </w:tcPr>
          <w:p>
            <w:pPr>
              <w:jc w:val="center"/>
              <w:rPr>
                <w:sz w:val="21"/>
                <w:szCs w:val="20"/>
              </w:rPr>
            </w:pPr>
          </w:p>
        </w:tc>
        <w:tc>
          <w:tcPr>
            <w:tcW w:w="1418" w:type="dxa"/>
          </w:tcPr>
          <w:p>
            <w:pPr>
              <w:rPr>
                <w:sz w:val="21"/>
                <w:szCs w:val="20"/>
              </w:rPr>
            </w:pPr>
          </w:p>
        </w:tc>
        <w:tc>
          <w:tcPr>
            <w:tcW w:w="3906" w:type="dxa"/>
          </w:tcPr>
          <w:p>
            <w:pPr>
              <w:rPr>
                <w:sz w:val="21"/>
                <w:szCs w:val="20"/>
              </w:rPr>
            </w:pPr>
          </w:p>
        </w:tc>
      </w:tr>
    </w:tbl>
    <w:p/>
    <w:p>
      <w:pPr>
        <w:pStyle w:val="3"/>
      </w:pPr>
      <w:bookmarkStart w:id="10" w:name="_Toc758696456"/>
      <w:r>
        <w:rPr>
          <w:rFonts w:hint="eastAsia"/>
        </w:rPr>
        <w:t>接口定义</w:t>
      </w:r>
      <w:bookmarkEnd w:id="10"/>
    </w:p>
    <w:p>
      <w:pPr>
        <w:pStyle w:val="37"/>
        <w:numPr>
          <w:ilvl w:val="0"/>
          <w:numId w:val="3"/>
        </w:numPr>
        <w:ind w:firstLineChars="0"/>
      </w:pPr>
      <w:r>
        <w:rPr>
          <w:rFonts w:hint="eastAsia"/>
        </w:rPr>
        <w:t>对W</w:t>
      </w:r>
      <w:r>
        <w:t>eb</w:t>
      </w:r>
      <w:r>
        <w:rPr>
          <w:rFonts w:hint="eastAsia"/>
        </w:rPr>
        <w:t>、移动客户端统一提供H</w:t>
      </w:r>
      <w:r>
        <w:t>ttp</w:t>
      </w:r>
      <w:r>
        <w:rPr>
          <w:rFonts w:hint="eastAsia"/>
        </w:rPr>
        <w:t>接口</w:t>
      </w:r>
    </w:p>
    <w:p>
      <w:pPr>
        <w:pStyle w:val="37"/>
        <w:numPr>
          <w:ilvl w:val="0"/>
          <w:numId w:val="3"/>
        </w:numPr>
        <w:ind w:firstLineChars="0"/>
      </w:pPr>
      <w:r>
        <w:rPr>
          <w:rFonts w:hint="eastAsia"/>
        </w:rPr>
        <w:t>查询类接口为H</w:t>
      </w:r>
      <w:r>
        <w:t>ttp GET</w:t>
      </w:r>
      <w:r>
        <w:rPr>
          <w:rFonts w:hint="eastAsia"/>
        </w:rPr>
        <w:t>接口</w:t>
      </w:r>
    </w:p>
    <w:p>
      <w:pPr>
        <w:pStyle w:val="37"/>
        <w:numPr>
          <w:ilvl w:val="0"/>
          <w:numId w:val="3"/>
        </w:numPr>
        <w:ind w:firstLineChars="0"/>
      </w:pPr>
      <w:r>
        <w:rPr>
          <w:rFonts w:hint="eastAsia"/>
        </w:rPr>
        <w:t>操作类接口为H</w:t>
      </w:r>
      <w:r>
        <w:t>ttp POST</w:t>
      </w:r>
      <w:r>
        <w:rPr>
          <w:rFonts w:hint="eastAsia"/>
        </w:rPr>
        <w:t>接口</w:t>
      </w:r>
    </w:p>
    <w:p>
      <w:pPr>
        <w:pStyle w:val="37"/>
        <w:numPr>
          <w:ilvl w:val="0"/>
          <w:numId w:val="3"/>
        </w:numPr>
        <w:ind w:firstLineChars="0"/>
      </w:pPr>
      <w:r>
        <w:rPr>
          <w:rFonts w:hint="eastAsia"/>
        </w:rPr>
        <w:t>接口定义请参考《瓴犀系统接口文档-售后能力服务》</w:t>
      </w:r>
    </w:p>
    <w:p>
      <w:pPr>
        <w:pStyle w:val="3"/>
      </w:pPr>
      <w:bookmarkStart w:id="11" w:name="_Toc1800923753"/>
      <w:r>
        <w:rPr>
          <w:rFonts w:hint="eastAsia"/>
        </w:rPr>
        <w:t>系统日志</w:t>
      </w:r>
      <w:bookmarkEnd w:id="11"/>
    </w:p>
    <w:p>
      <w:pPr>
        <w:ind w:firstLine="480" w:firstLineChars="200"/>
      </w:pPr>
      <w:r>
        <w:rPr>
          <w:rFonts w:hint="eastAsia"/>
        </w:rPr>
        <w:t>使用L</w:t>
      </w:r>
      <w:r>
        <w:t>ogback</w:t>
      </w:r>
      <w:r>
        <w:rPr>
          <w:rFonts w:hint="eastAsia"/>
        </w:rPr>
        <w:t>记录系统日志，日志文件名称为</w:t>
      </w:r>
      <w:r>
        <w:t>report-service.*.log</w:t>
      </w:r>
    </w:p>
    <w:p>
      <w:pPr>
        <w:ind w:firstLine="480" w:firstLineChars="200"/>
      </w:pPr>
      <w:r>
        <w:rPr>
          <w:rFonts w:hint="eastAsia"/>
        </w:rPr>
        <w:t>日志文件配置l</w:t>
      </w:r>
      <w:r>
        <w:t>ogback.xml</w:t>
      </w:r>
      <w:r>
        <w:rPr>
          <w:rFonts w:hint="eastAsia"/>
        </w:rPr>
        <w:t>、日志采集分析方式请参考《瓴犀系统技术白皮书》</w:t>
      </w:r>
    </w:p>
    <w:p/>
    <w:p>
      <w:pPr>
        <w:pStyle w:val="3"/>
      </w:pPr>
      <w:bookmarkStart w:id="12" w:name="_Toc1490995853"/>
      <w:r>
        <w:rPr>
          <w:rFonts w:hint="eastAsia"/>
        </w:rPr>
        <w:t>异常处理</w:t>
      </w:r>
      <w:bookmarkEnd w:id="12"/>
    </w:p>
    <w:p>
      <w:pPr>
        <w:ind w:firstLine="480" w:firstLineChars="200"/>
      </w:pPr>
      <w:r>
        <w:rPr>
          <w:rFonts w:hint="eastAsia"/>
        </w:rPr>
        <w:t>使用S</w:t>
      </w:r>
      <w:r>
        <w:t>pring</w:t>
      </w:r>
      <w:r>
        <w:rPr>
          <w:rFonts w:hint="eastAsia"/>
        </w:rPr>
        <w:t>注解@</w:t>
      </w:r>
      <w:r>
        <w:t>RestControllerAdvise</w:t>
      </w:r>
      <w:r>
        <w:rPr>
          <w:rFonts w:hint="eastAsia"/>
        </w:rPr>
        <w:t>统一全局异常拦截类，代码P</w:t>
      </w:r>
      <w:r>
        <w:t>ackage Name</w:t>
      </w:r>
      <w:r>
        <w:rPr>
          <w:rFonts w:hint="eastAsia"/>
        </w:rPr>
        <w:t>：com.ssy.lingxi.component.base.handler.exception</w:t>
      </w:r>
      <w:r>
        <w:t>.*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21"/>
        <w:gridCol w:w="41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2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拦截的异常类</w:t>
            </w:r>
          </w:p>
        </w:tc>
        <w:tc>
          <w:tcPr>
            <w:tcW w:w="4148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BusinessExceptionHandler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系统自定义异常类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FileUploadExceptionHandler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上传文件超限制异常类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GlobalExceptionHandler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rFonts w:hint="default" w:eastAsia="宋体"/>
                <w:sz w:val="21"/>
                <w:szCs w:val="20"/>
                <w:lang w:val="en-US" w:eastAsia="zh-Hans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全局异常类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ParamCheckExceptionHandler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接口参数校验错误拦截</w:t>
            </w:r>
          </w:p>
        </w:tc>
      </w:tr>
    </w:tbl>
    <w:p/>
    <w:p>
      <w:pPr>
        <w:pStyle w:val="2"/>
      </w:pPr>
      <w:bookmarkStart w:id="13" w:name="_Toc180624528"/>
      <w:r>
        <w:rPr>
          <w:rFonts w:hint="eastAsia"/>
        </w:rPr>
        <w:t>系统设计</w:t>
      </w:r>
      <w:bookmarkEnd w:id="13"/>
    </w:p>
    <w:p>
      <w:pPr>
        <w:pStyle w:val="3"/>
      </w:pPr>
      <w:bookmarkStart w:id="14" w:name="_Toc1362048885"/>
      <w:r>
        <w:rPr>
          <w:rFonts w:hint="eastAsia"/>
        </w:rPr>
        <w:t>会员代办统计</w:t>
      </w:r>
      <w:bookmarkEnd w:id="14"/>
    </w:p>
    <w:p>
      <w:pPr>
        <w:ind w:firstLine="420"/>
      </w:pPr>
      <w:r>
        <w:rPr>
          <w:rFonts w:hint="eastAsia"/>
        </w:rPr>
        <w:t>会员代办统计分两种方式：实时计算和定时校准方式。实时计算由报表服务提供内部操作通知接口，及时计算各代办事项；定时校准方式由定时服务统一全量校准。代办统计项如下</w:t>
      </w:r>
    </w:p>
    <w:p>
      <w:pPr>
        <w:pStyle w:val="37"/>
        <w:numPr>
          <w:ilvl w:val="0"/>
          <w:numId w:val="4"/>
        </w:numPr>
        <w:ind w:firstLineChars="0"/>
      </w:pPr>
      <w:r>
        <w:rPr>
          <w:rFonts w:hint="eastAsia"/>
        </w:rPr>
        <w:t>售后维修申请</w:t>
      </w:r>
    </w:p>
    <w:p>
      <w:pPr>
        <w:pStyle w:val="37"/>
        <w:numPr>
          <w:ilvl w:val="0"/>
          <w:numId w:val="4"/>
        </w:numPr>
        <w:ind w:firstLineChars="0"/>
      </w:pPr>
      <w:r>
        <w:rPr>
          <w:rFonts w:hint="eastAsia"/>
        </w:rPr>
        <w:t>售后维修处理</w:t>
      </w:r>
    </w:p>
    <w:p>
      <w:pPr>
        <w:pStyle w:val="37"/>
        <w:numPr>
          <w:ilvl w:val="0"/>
          <w:numId w:val="4"/>
        </w:numPr>
        <w:ind w:firstLineChars="0"/>
      </w:pPr>
      <w:r>
        <w:rPr>
          <w:rFonts w:hint="eastAsia"/>
        </w:rPr>
        <w:t>售后换货申请</w:t>
      </w:r>
    </w:p>
    <w:p>
      <w:pPr>
        <w:pStyle w:val="37"/>
        <w:numPr>
          <w:ilvl w:val="0"/>
          <w:numId w:val="4"/>
        </w:numPr>
        <w:ind w:firstLineChars="0"/>
      </w:pPr>
      <w:r>
        <w:rPr>
          <w:rFonts w:hint="eastAsia"/>
        </w:rPr>
        <w:t>售后换货处理</w:t>
      </w:r>
    </w:p>
    <w:p>
      <w:pPr>
        <w:pStyle w:val="37"/>
        <w:numPr>
          <w:ilvl w:val="0"/>
          <w:numId w:val="4"/>
        </w:numPr>
        <w:ind w:firstLineChars="0"/>
      </w:pPr>
      <w:r>
        <w:rPr>
          <w:rFonts w:hint="eastAsia"/>
        </w:rPr>
        <w:t>售后退货申请</w:t>
      </w:r>
    </w:p>
    <w:p>
      <w:pPr>
        <w:pStyle w:val="37"/>
        <w:numPr>
          <w:ilvl w:val="0"/>
          <w:numId w:val="4"/>
        </w:numPr>
        <w:ind w:firstLineChars="0"/>
      </w:pPr>
      <w:r>
        <w:rPr>
          <w:rFonts w:hint="eastAsia"/>
        </w:rPr>
        <w:t>售后退货处理</w:t>
      </w:r>
    </w:p>
    <w:p>
      <w:pPr>
        <w:pStyle w:val="37"/>
        <w:numPr>
          <w:ilvl w:val="0"/>
          <w:numId w:val="4"/>
        </w:numPr>
        <w:ind w:firstLineChars="0"/>
      </w:pPr>
      <w:r>
        <w:rPr>
          <w:rFonts w:hint="eastAsia"/>
        </w:rPr>
        <w:t>资金账户</w:t>
      </w:r>
    </w:p>
    <w:p>
      <w:pPr>
        <w:pStyle w:val="37"/>
        <w:numPr>
          <w:ilvl w:val="0"/>
          <w:numId w:val="4"/>
        </w:numPr>
        <w:ind w:firstLineChars="0"/>
      </w:pPr>
      <w:r>
        <w:rPr>
          <w:rFonts w:hint="eastAsia"/>
        </w:rPr>
        <w:t>商品中心</w:t>
      </w:r>
    </w:p>
    <w:p>
      <w:pPr>
        <w:pStyle w:val="37"/>
        <w:numPr>
          <w:ilvl w:val="0"/>
          <w:numId w:val="4"/>
        </w:numPr>
        <w:ind w:firstLineChars="0"/>
      </w:pPr>
      <w:r>
        <w:rPr>
          <w:rFonts w:hint="eastAsia"/>
        </w:rPr>
        <w:t>授信</w:t>
      </w:r>
    </w:p>
    <w:p>
      <w:pPr>
        <w:pStyle w:val="37"/>
        <w:numPr>
          <w:ilvl w:val="0"/>
          <w:numId w:val="4"/>
        </w:numPr>
        <w:ind w:firstLineChars="0"/>
      </w:pPr>
      <w:r>
        <w:rPr>
          <w:rFonts w:hint="eastAsia"/>
        </w:rPr>
        <w:t>确认生产通知单</w:t>
      </w:r>
    </w:p>
    <w:p>
      <w:pPr>
        <w:pStyle w:val="37"/>
        <w:numPr>
          <w:ilvl w:val="0"/>
          <w:numId w:val="4"/>
        </w:numPr>
        <w:ind w:firstLineChars="0"/>
      </w:pPr>
      <w:r>
        <w:rPr>
          <w:rFonts w:hint="eastAsia"/>
        </w:rPr>
        <w:t>指派生产通知单</w:t>
      </w:r>
    </w:p>
    <w:p>
      <w:pPr>
        <w:pStyle w:val="37"/>
        <w:numPr>
          <w:ilvl w:val="0"/>
          <w:numId w:val="4"/>
        </w:numPr>
        <w:ind w:firstLineChars="0"/>
      </w:pPr>
      <w:r>
        <w:rPr>
          <w:rFonts w:hint="eastAsia"/>
        </w:rPr>
        <w:t>物流中心</w:t>
      </w:r>
    </w:p>
    <w:p>
      <w:pPr>
        <w:pStyle w:val="37"/>
        <w:numPr>
          <w:ilvl w:val="0"/>
          <w:numId w:val="4"/>
        </w:numPr>
        <w:ind w:firstLineChars="0"/>
      </w:pPr>
      <w:r>
        <w:rPr>
          <w:rFonts w:hint="eastAsia"/>
        </w:rPr>
        <w:t>会员审核</w:t>
      </w:r>
    </w:p>
    <w:p>
      <w:pPr>
        <w:pStyle w:val="37"/>
        <w:numPr>
          <w:ilvl w:val="0"/>
          <w:numId w:val="4"/>
        </w:numPr>
        <w:ind w:firstLineChars="0"/>
      </w:pPr>
      <w:r>
        <w:rPr>
          <w:rFonts w:hint="eastAsia"/>
        </w:rPr>
        <w:t>应付款结算</w:t>
      </w:r>
    </w:p>
    <w:p>
      <w:pPr>
        <w:pStyle w:val="37"/>
        <w:numPr>
          <w:ilvl w:val="0"/>
          <w:numId w:val="4"/>
        </w:numPr>
        <w:ind w:firstLineChars="0"/>
      </w:pPr>
      <w:r>
        <w:rPr>
          <w:rFonts w:hint="eastAsia"/>
        </w:rPr>
        <w:t>应收款结算</w:t>
      </w:r>
    </w:p>
    <w:p>
      <w:pPr>
        <w:pStyle w:val="37"/>
        <w:numPr>
          <w:ilvl w:val="0"/>
          <w:numId w:val="4"/>
        </w:numPr>
        <w:ind w:firstLineChars="0"/>
      </w:pPr>
      <w:r>
        <w:rPr>
          <w:rFonts w:hint="eastAsia"/>
        </w:rPr>
        <w:t>平台积分即结算</w:t>
      </w:r>
    </w:p>
    <w:p>
      <w:pPr>
        <w:pStyle w:val="37"/>
        <w:numPr>
          <w:ilvl w:val="0"/>
          <w:numId w:val="4"/>
        </w:numPr>
        <w:ind w:firstLineChars="0"/>
      </w:pPr>
      <w:r>
        <w:rPr>
          <w:rFonts w:hint="eastAsia"/>
        </w:rPr>
        <w:t>平台结算</w:t>
      </w:r>
    </w:p>
    <w:p>
      <w:pPr>
        <w:pStyle w:val="37"/>
        <w:numPr>
          <w:ilvl w:val="0"/>
          <w:numId w:val="4"/>
        </w:numPr>
        <w:ind w:firstLineChars="0"/>
      </w:pPr>
      <w:r>
        <w:rPr>
          <w:rFonts w:hint="eastAsia"/>
        </w:rPr>
        <w:t>商品询价</w:t>
      </w:r>
    </w:p>
    <w:p>
      <w:pPr>
        <w:pStyle w:val="37"/>
        <w:numPr>
          <w:ilvl w:val="0"/>
          <w:numId w:val="4"/>
        </w:numPr>
        <w:ind w:firstLineChars="0"/>
      </w:pPr>
      <w:r>
        <w:rPr>
          <w:rFonts w:hint="eastAsia"/>
        </w:rPr>
        <w:t>确认需求报价</w:t>
      </w:r>
    </w:p>
    <w:p>
      <w:pPr>
        <w:pStyle w:val="37"/>
        <w:numPr>
          <w:ilvl w:val="0"/>
          <w:numId w:val="4"/>
        </w:numPr>
        <w:ind w:firstLineChars="0"/>
      </w:pPr>
      <w:r>
        <w:rPr>
          <w:rFonts w:hint="eastAsia"/>
        </w:rPr>
        <w:t>确认询价报价</w:t>
      </w:r>
    </w:p>
    <w:p>
      <w:pPr>
        <w:pStyle w:val="37"/>
        <w:numPr>
          <w:ilvl w:val="0"/>
          <w:numId w:val="4"/>
        </w:numPr>
        <w:ind w:firstLineChars="0"/>
      </w:pPr>
      <w:r>
        <w:rPr>
          <w:rFonts w:hint="eastAsia"/>
        </w:rPr>
        <w:t>需求发布</w:t>
      </w:r>
    </w:p>
    <w:p>
      <w:pPr>
        <w:pStyle w:val="37"/>
        <w:numPr>
          <w:ilvl w:val="0"/>
          <w:numId w:val="4"/>
        </w:numPr>
        <w:ind w:firstLineChars="0"/>
      </w:pPr>
      <w:r>
        <w:rPr>
          <w:rFonts w:hint="eastAsia"/>
        </w:rPr>
        <w:t>询价报价</w:t>
      </w:r>
    </w:p>
    <w:p>
      <w:pPr>
        <w:pStyle w:val="37"/>
        <w:numPr>
          <w:ilvl w:val="0"/>
          <w:numId w:val="4"/>
        </w:numPr>
        <w:ind w:firstLineChars="0"/>
      </w:pPr>
      <w:r>
        <w:rPr>
          <w:rFonts w:hint="eastAsia"/>
        </w:rPr>
        <w:t>采购订单</w:t>
      </w:r>
    </w:p>
    <w:p>
      <w:pPr>
        <w:pStyle w:val="37"/>
        <w:numPr>
          <w:ilvl w:val="0"/>
          <w:numId w:val="4"/>
        </w:numPr>
        <w:ind w:firstLineChars="0"/>
      </w:pPr>
      <w:r>
        <w:rPr>
          <w:rFonts w:hint="eastAsia"/>
        </w:rPr>
        <w:t>销售订单</w:t>
      </w:r>
    </w:p>
    <w:p>
      <w:pPr>
        <w:ind w:firstLine="420"/>
      </w:pPr>
    </w:p>
    <w:p>
      <w:pPr>
        <w:pStyle w:val="3"/>
      </w:pPr>
      <w:bookmarkStart w:id="15" w:name="_Toc1927416822"/>
      <w:r>
        <w:rPr>
          <w:rFonts w:hint="eastAsia"/>
        </w:rPr>
        <w:t>结算数据统计</w:t>
      </w:r>
      <w:bookmarkEnd w:id="15"/>
    </w:p>
    <w:p>
      <w:pPr>
        <w:ind w:left="420"/>
      </w:pPr>
      <w:r>
        <w:rPr>
          <w:rFonts w:hint="eastAsia"/>
        </w:rPr>
        <w:t>结算统计数据参看《瓴犀微服务平台详细设计</w:t>
      </w:r>
      <w:r>
        <w:t>-结算服务</w:t>
      </w:r>
      <w:r>
        <w:rPr>
          <w:rFonts w:hint="eastAsia"/>
        </w:rPr>
        <w:t>》文档。</w:t>
      </w:r>
    </w:p>
    <w:p>
      <w:pPr>
        <w:pStyle w:val="3"/>
      </w:pPr>
      <w:bookmarkStart w:id="16" w:name="_Toc1451196006"/>
      <w:r>
        <w:rPr>
          <w:rFonts w:hint="eastAsia"/>
        </w:rPr>
        <w:t>每日新增数据统计</w:t>
      </w:r>
      <w:bookmarkEnd w:id="16"/>
    </w:p>
    <w:p>
      <w:pPr>
        <w:pStyle w:val="3"/>
      </w:pPr>
      <w:bookmarkStart w:id="17" w:name="_Toc1279493863"/>
      <w:r>
        <w:rPr>
          <w:rFonts w:hint="eastAsia"/>
        </w:rPr>
        <w:t>会员注册趋势统计</w:t>
      </w:r>
      <w:bookmarkEnd w:id="17"/>
    </w:p>
    <w:p>
      <w:pPr>
        <w:pStyle w:val="3"/>
      </w:pPr>
      <w:bookmarkStart w:id="18" w:name="_Toc1699598030"/>
      <w:r>
        <w:rPr>
          <w:rFonts w:hint="eastAsia"/>
        </w:rPr>
        <w:t>订单趋势统计</w:t>
      </w:r>
      <w:bookmarkEnd w:id="18"/>
    </w:p>
    <w:p>
      <w:pPr>
        <w:pStyle w:val="2"/>
      </w:pPr>
      <w:bookmarkStart w:id="19" w:name="_Toc1464101463"/>
      <w:r>
        <w:rPr>
          <w:rFonts w:hint="eastAsia"/>
        </w:rPr>
        <w:t>核心流程设计</w:t>
      </w:r>
      <w:bookmarkEnd w:id="19"/>
    </w:p>
    <w:p>
      <w:pPr>
        <w:pStyle w:val="3"/>
      </w:pPr>
      <w:bookmarkStart w:id="20" w:name="_Toc1285661315"/>
      <w:r>
        <w:rPr>
          <w:rFonts w:hint="eastAsia"/>
        </w:rPr>
        <w:t>结算报表统计</w:t>
      </w:r>
      <w:bookmarkEnd w:id="20"/>
    </w:p>
    <w:p>
      <w:pPr>
        <w:pStyle w:val="4"/>
      </w:pPr>
      <w:bookmarkStart w:id="21" w:name="_Toc60752559"/>
      <w:bookmarkStart w:id="22" w:name="_Toc129265091"/>
      <w:r>
        <w:rPr>
          <w:rFonts w:hint="eastAsia"/>
        </w:rPr>
        <w:t>平台代收账款结算统计</w:t>
      </w:r>
      <w:bookmarkEnd w:id="21"/>
      <w:bookmarkEnd w:id="22"/>
    </w:p>
    <w:p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800985" cy="4768215"/>
            <wp:effectExtent l="0" t="0" r="18415" b="6985"/>
            <wp:docPr id="3" name="图片 3" descr="平台代收账款结算统计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平台代收账款结算统计.drawio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0985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bookmarkStart w:id="23" w:name="_Toc60752560"/>
      <w:bookmarkStart w:id="24" w:name="_Toc1452417320"/>
      <w:r>
        <w:rPr>
          <w:rFonts w:hint="eastAsia"/>
        </w:rPr>
        <w:t>平台积分结算统计</w:t>
      </w:r>
      <w:bookmarkEnd w:id="23"/>
      <w:bookmarkEnd w:id="24"/>
    </w:p>
    <w:p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276725" cy="7038975"/>
            <wp:effectExtent l="0" t="0" r="15875" b="22225"/>
            <wp:docPr id="4" name="图片 4" descr="平台积分结算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平台积分结算.drawio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bookmarkStart w:id="25" w:name="_Toc60752561"/>
      <w:bookmarkStart w:id="26" w:name="_Toc331281791"/>
      <w:r>
        <w:rPr>
          <w:rFonts w:hint="eastAsia"/>
        </w:rPr>
        <w:t>会员物流结算统计</w:t>
      </w:r>
      <w:bookmarkEnd w:id="25"/>
      <w:bookmarkEnd w:id="26"/>
    </w:p>
    <w:p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895725" cy="5991225"/>
            <wp:effectExtent l="0" t="0" r="15875" b="3175"/>
            <wp:docPr id="5" name="图片 5" descr="会员物流结算统计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会员物流结算统计.drawio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bookmarkStart w:id="27" w:name="_Toc60752562"/>
      <w:bookmarkStart w:id="28" w:name="_Toc1575448313"/>
      <w:r>
        <w:rPr>
          <w:rFonts w:hint="eastAsia"/>
        </w:rPr>
        <w:t>会员加工结算统计</w:t>
      </w:r>
      <w:bookmarkEnd w:id="27"/>
      <w:bookmarkEnd w:id="28"/>
    </w:p>
    <w:p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895725" cy="5991225"/>
            <wp:effectExtent l="0" t="0" r="15875" b="3175"/>
            <wp:docPr id="8" name="图片 8" descr="会员加工结算统计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会员加工结算统计.drawio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bookmarkStart w:id="29" w:name="_Toc60752563"/>
      <w:bookmarkStart w:id="30" w:name="_Toc86429081"/>
      <w:r>
        <w:rPr>
          <w:rFonts w:hint="eastAsia"/>
        </w:rPr>
        <w:t>结算数据流转</w:t>
      </w:r>
      <w:bookmarkEnd w:id="29"/>
      <w:bookmarkEnd w:id="30"/>
    </w:p>
    <w:p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009900" cy="7419975"/>
            <wp:effectExtent l="0" t="0" r="12700" b="22225"/>
            <wp:docPr id="6" name="图片 6" descr="结算数据流转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结算数据流转.drawio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bookmarkStart w:id="31" w:name="_Toc914618995"/>
      <w:r>
        <w:rPr>
          <w:rFonts w:hint="eastAsia"/>
        </w:rPr>
        <w:t>站内消息</w:t>
      </w:r>
      <w:bookmarkEnd w:id="31"/>
    </w:p>
    <w:p>
      <w:pPr>
        <w:tabs>
          <w:tab w:val="left" w:pos="2995"/>
        </w:tabs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095625" cy="4581525"/>
            <wp:effectExtent l="0" t="0" r="3175" b="15875"/>
            <wp:docPr id="7" name="图片 7" descr="站内消息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站内消息.drawio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</w:pPr>
      <w:bookmarkStart w:id="32" w:name="_Toc313503739"/>
      <w:r>
        <w:rPr>
          <w:rFonts w:hint="eastAsia"/>
        </w:rPr>
        <w:t>数据库设计</w:t>
      </w:r>
      <w:bookmarkEnd w:id="32"/>
    </w:p>
    <w:p>
      <w:pPr>
        <w:pStyle w:val="3"/>
      </w:pPr>
      <w:bookmarkStart w:id="33" w:name="_Toc1279955282"/>
      <w:r>
        <w:rPr>
          <w:rFonts w:hint="eastAsia"/>
        </w:rPr>
        <w:t>说明</w:t>
      </w:r>
      <w:bookmarkEnd w:id="33"/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报表管理服务所有数据库表名前缀统一为“rep</w:t>
      </w:r>
      <w:r>
        <w:t>_</w:t>
      </w:r>
      <w:r>
        <w:rPr>
          <w:rFonts w:hint="eastAsia"/>
        </w:rPr>
        <w:t>”</w:t>
      </w:r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除多对多关联的中间表外，每个表以i</w:t>
      </w:r>
      <w:r>
        <w:t>d</w:t>
      </w:r>
      <w:r>
        <w:rPr>
          <w:rFonts w:hint="eastAsia"/>
        </w:rPr>
        <w:t>字段作为唯一主键，创建数据库序列作为i</w:t>
      </w:r>
      <w:r>
        <w:t>d</w:t>
      </w:r>
      <w:r>
        <w:rPr>
          <w:rFonts w:hint="eastAsia"/>
        </w:rPr>
        <w:t>字段自增的值</w:t>
      </w:r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数据库表对应实体定义在</w:t>
      </w:r>
      <w:r>
        <w:t>com.ssy.lingxi.report.entity.report*</w:t>
      </w:r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实体字段名采用</w:t>
      </w:r>
      <w:r>
        <w:t>Lower Camel Case</w:t>
      </w:r>
      <w:r>
        <w:rPr>
          <w:rFonts w:hint="eastAsia"/>
        </w:rPr>
        <w:t>，数据库表字段的命名由S</w:t>
      </w:r>
      <w:r>
        <w:t>pring Data JPA</w:t>
      </w:r>
      <w:r>
        <w:rPr>
          <w:rFonts w:hint="eastAsia"/>
        </w:rPr>
        <w:t>转换为以下划线分隔小写单词的形式，例如：</w:t>
      </w:r>
    </w:p>
    <w:p>
      <w:pPr>
        <w:pStyle w:val="37"/>
        <w:ind w:left="420" w:firstLine="0" w:firstLineChars="0"/>
      </w:pPr>
      <w:r>
        <w:rPr>
          <w:rFonts w:hint="eastAsia"/>
        </w:rPr>
        <w:t>实体类字段命名：c</w:t>
      </w:r>
      <w:r>
        <w:t>reateTime</w:t>
      </w:r>
    </w:p>
    <w:p>
      <w:pPr>
        <w:pStyle w:val="37"/>
        <w:ind w:left="420" w:firstLine="0" w:firstLineChars="0"/>
      </w:pPr>
      <w:r>
        <w:rPr>
          <w:rFonts w:hint="eastAsia"/>
        </w:rPr>
        <w:t>数据库字段命名：c</w:t>
      </w:r>
      <w:r>
        <w:t>reate_time</w:t>
      </w:r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数据库表字段除主键I</w:t>
      </w:r>
      <w:r>
        <w:t>d</w:t>
      </w:r>
      <w:r>
        <w:rPr>
          <w:rFonts w:hint="eastAsia"/>
        </w:rPr>
        <w:t>字段外，其他字段均允许为N</w:t>
      </w:r>
      <w:r>
        <w:t>ull</w:t>
      </w:r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一些复杂对象，为减少表之间、数据之间的关联，以自定义B</w:t>
      </w:r>
      <w:r>
        <w:t>O</w:t>
      </w:r>
      <w:r>
        <w:rPr>
          <w:rFonts w:hint="eastAsia"/>
        </w:rPr>
        <w:t>对象保存在数据库的J</w:t>
      </w:r>
      <w:r>
        <w:t>sonb</w:t>
      </w:r>
      <w:r>
        <w:rPr>
          <w:rFonts w:hint="eastAsia"/>
        </w:rPr>
        <w:t>类型字段中</w:t>
      </w:r>
    </w:p>
    <w:p>
      <w:pPr>
        <w:tabs>
          <w:tab w:val="left" w:pos="6854"/>
        </w:tabs>
      </w:pPr>
    </w:p>
    <w:p>
      <w:pPr>
        <w:pStyle w:val="3"/>
        <w:bidi w:val="0"/>
        <w:rPr>
          <w:rFonts w:hint="default"/>
          <w:lang w:val="en-US" w:eastAsia="zh-CN"/>
        </w:rPr>
      </w:pPr>
      <w:bookmarkStart w:id="34" w:name="_Toc864732575"/>
      <w:r>
        <w:rPr>
          <w:rFonts w:hint="eastAsia"/>
          <w:lang w:val="en-US" w:eastAsia="zh-CN"/>
        </w:rPr>
        <w:t>表清单</w:t>
      </w:r>
      <w:bookmarkEnd w:id="34"/>
    </w:p>
    <w:tbl>
      <w:tblPr>
        <w:tblStyle w:val="18"/>
        <w:tblW w:w="4999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autofit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400"/>
        <w:gridCol w:w="4924"/>
      </w:tblGrid>
      <w:tr>
        <w:trPr>
          <w:cantSplit/>
          <w:trHeight w:val="375" w:hRule="atLeast"/>
        </w:trPr>
        <w:tc>
          <w:tcPr>
            <w:tcW w:w="2042" w:type="pct"/>
            <w:shd w:val="clear" w:color="auto" w:fill="8EAADB" w:themeFill="accent1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数据表</w:t>
            </w:r>
          </w:p>
        </w:tc>
        <w:tc>
          <w:tcPr>
            <w:tcW w:w="2957" w:type="pct"/>
            <w:shd w:val="clear" w:color="auto" w:fill="8EAADB" w:themeFill="accent1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rep_active_merchant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活跃商户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rep_app_backlog_notice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App待办通知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rep_contract_day_report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合同日报表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rep_data_layout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数据布局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rep_member_day_report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会员日报表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rep_member_mobile_menu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会员手机端菜单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rep_member_month_report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会员月报表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rep_mobile_commonly_used_app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手机端常用App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rep_newly_added_day_report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每日新增报表DO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rep_order_day_report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订单日报表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rep_order_month_report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订单月报表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rep_platform_tally_report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平台计数报表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rep_popular_shop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人气店铺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rep_purchase_day_report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采购日报统计表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rep_sub_member_day_report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统计供应商日报表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rep_sub_member_month_report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统计用户下角色统计报表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3"/>
        <w:bidi w:val="0"/>
      </w:pPr>
      <w:bookmarkStart w:id="35" w:name="_Toc1538548776"/>
      <w:r>
        <w:rPr>
          <w:rFonts w:hint="eastAsia"/>
        </w:rPr>
        <w:t>表定义</w:t>
      </w:r>
      <w:bookmarkEnd w:id="35"/>
    </w:p>
    <w:p>
      <w:pPr>
        <w:pStyle w:val="4"/>
        <w:bidi w:val="0"/>
        <w:rPr>
          <w:rFonts w:hint="default"/>
          <w:lang w:val="en-US" w:eastAsia="zh-CN"/>
        </w:rPr>
      </w:pPr>
      <w:bookmarkStart w:id="36" w:name="_Toc538684705"/>
      <w:r>
        <w:rPr>
          <w:rFonts w:hint="eastAsia"/>
          <w:lang w:val="en-US" w:eastAsia="zh-CN"/>
        </w:rPr>
        <w:t>数据初始化表</w:t>
      </w:r>
      <w:bookmarkEnd w:id="36"/>
    </w:p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rep_active_merchant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活跃商户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member_logo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商户Logo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商户名称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member_shop_id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店铺id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商户角色id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rep_app_backlog_notice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App待办通知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data_id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数据标识id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data_source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数据源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operate_type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待办事项（操作类型）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title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标题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rep_contract_day_report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合同日报表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amount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日期时间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rep_data_layout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数据布局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is_show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是否展示：0-否，1-是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布局菜单名称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商户角色id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sort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排序：越小越靠前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布局菜单编码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rep_member_day_report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会员日报表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日期时间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rep_member_mobile_menu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会员手机端菜单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menu_list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计数报表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商户角色id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rep_member_month_report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会员月报表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日期时间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rep_mobile_commonly_used_app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手机端常用App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app_enum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应用枚举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商户角色id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sort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排序：越小越靠前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rep_newly_added_day_report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每日新增报表DO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brand_count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品牌数量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commodity_count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日期时间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order_amount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订单金额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shop_count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店铺数量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rep_order_day_report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订单日报表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amount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营业额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日期时间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rep_order_month_report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订单月报表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amount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营业额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日期时间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rep_platform_tally_report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平台计数报表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tally_report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计数报表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rep_popular_shop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人气店铺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member_logo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商户Logo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商户名称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member_shop_id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店铺id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店铺name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商户角色id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rep_purchase_day_report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采购日报统计表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amount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bidding_num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竞价次数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日期时间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inquiry_num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询价次数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invite_tender_num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招标次数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rep_sub_member_day_report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统计供应商日报表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rep_date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日期时间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date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</w:tbl>
    <w:p>
      <w:pPr>
        <w:pStyle w:val="5"/>
        <w:tabs>
          <w:tab w:val="left" w:pos="1004"/>
        </w:tabs>
        <w:outlineLvl w:val="3"/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rep_sub_member_month_report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统计用户下角色统计报表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rep_date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日期时间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date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outlineLvl w:val="3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outlineLvl w:val="3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outlineLvl w:val="3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</w:tbl>
    <w:p>
      <w:pPr>
        <w:pStyle w:val="2"/>
      </w:pPr>
      <w:bookmarkStart w:id="37" w:name="_Toc2030264830"/>
      <w:r>
        <w:rPr>
          <w:rFonts w:hint="eastAsia"/>
        </w:rPr>
        <w:t>服务部署</w:t>
      </w:r>
      <w:bookmarkEnd w:id="37"/>
    </w:p>
    <w:p>
      <w:pPr>
        <w:pStyle w:val="3"/>
      </w:pPr>
      <w:bookmarkStart w:id="38" w:name="_Toc1293330627"/>
      <w:r>
        <w:rPr>
          <w:rFonts w:hint="eastAsia"/>
        </w:rPr>
        <w:t>数据初始化</w:t>
      </w:r>
      <w:bookmarkEnd w:id="38"/>
    </w:p>
    <w:p>
      <w:pPr>
        <w:ind w:left="420"/>
      </w:pPr>
      <w:r>
        <w:rPr>
          <w:rFonts w:hint="eastAsia"/>
        </w:rPr>
        <w:t>无</w:t>
      </w:r>
    </w:p>
    <w:p>
      <w:pPr>
        <w:pStyle w:val="3"/>
      </w:pPr>
      <w:bookmarkStart w:id="39" w:name="_Toc178373055"/>
      <w:r>
        <w:rPr>
          <w:rFonts w:hint="eastAsia"/>
        </w:rPr>
        <w:t>服务启动依赖</w:t>
      </w:r>
      <w:bookmarkEnd w:id="39"/>
    </w:p>
    <w:p>
      <w:pPr>
        <w:ind w:left="420"/>
      </w:pPr>
      <w:r>
        <w:rPr>
          <w:rFonts w:hint="eastAsia"/>
        </w:rPr>
        <w:t>无</w:t>
      </w:r>
    </w:p>
    <w:p/>
    <w:p>
      <w:pPr>
        <w:pStyle w:val="2"/>
      </w:pPr>
      <w:bookmarkStart w:id="40" w:name="_Toc28764173"/>
      <w:r>
        <w:rPr>
          <w:rFonts w:hint="eastAsia"/>
        </w:rPr>
        <w:t>附录</w:t>
      </w:r>
      <w:bookmarkEnd w:id="40"/>
    </w:p>
    <w:p>
      <w:pPr>
        <w:pStyle w:val="3"/>
      </w:pPr>
      <w:bookmarkStart w:id="41" w:name="_Toc255635036"/>
      <w:r>
        <w:rPr>
          <w:rFonts w:hint="eastAsia"/>
        </w:rPr>
        <w:t>接口返回码</w:t>
      </w:r>
      <w:bookmarkEnd w:id="41"/>
    </w:p>
    <w:sectPr>
      <w:headerReference r:id="rId11" w:type="default"/>
      <w:footerReference r:id="rId12" w:type="default"/>
      <w:pgSz w:w="11906" w:h="16838"/>
      <w:pgMar w:top="1440" w:right="1800" w:bottom="1440" w:left="1800" w:header="851" w:footer="567" w:gutter="0"/>
      <w:pgNumType w:start="1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Lucida Sans Unicode">
    <w:altName w:val="苹方-简"/>
    <w:panose1 w:val="020B0602030504020204"/>
    <w:charset w:val="00"/>
    <w:family w:val="swiss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Hiragino Kaku Gothic Pro">
    <w:panose1 w:val="020B0300000000000000"/>
    <w:charset w:val="80"/>
    <w:family w:val="auto"/>
    <w:pitch w:val="default"/>
    <w:sig w:usb0="00000000" w:usb1="00000000" w:usb2="00000000" w:usb3="00000000" w:csb0="00160000" w:csb1="00000000"/>
  </w:font>
  <w:font w:name="Source Han Sans CN Regular">
    <w:altName w:val="苹方-简"/>
    <w:panose1 w:val="00000000000000000000"/>
    <w:charset w:val="86"/>
    <w:family w:val="auto"/>
    <w:pitch w:val="default"/>
    <w:sig w:usb0="00000000" w:usb1="00000000" w:usb2="00000016" w:usb3="00000000" w:csb0="60060107" w:csb1="00000000"/>
  </w:font>
  <w:font w:name="Source Han Sans CN Bold">
    <w:altName w:val="苹方-简"/>
    <w:panose1 w:val="00000000000000000000"/>
    <w:charset w:val="86"/>
    <w:family w:val="auto"/>
    <w:pitch w:val="default"/>
    <w:sig w:usb0="00000000" w:usb1="00000000" w:usb2="00000016" w:usb3="00000000" w:csb0="60060107" w:csb1="00000000"/>
  </w:font>
  <w:font w:name="冬青黑体简体中文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sz w:val="20"/>
      </w:rPr>
    </w:pPr>
    <w:r>
      <w:rPr>
        <w:rFonts w:ascii="Calibri" w:hAnsi="Calibri" w:eastAsia="黑体" w:cs="Calibri"/>
        <w:color w:val="A6A6A6" w:themeColor="background1" w:themeShade="A6"/>
        <w:sz w:val="13"/>
        <w:szCs w:val="12"/>
      </w:rPr>
      <w:t>©</w:t>
    </w:r>
    <w:r>
      <w:rPr>
        <w:rFonts w:ascii="黑体" w:hAnsi="黑体" w:eastAsia="黑体"/>
        <w:color w:val="A6A6A6" w:themeColor="background1" w:themeShade="A6"/>
        <w:sz w:val="13"/>
        <w:szCs w:val="12"/>
      </w:rPr>
      <w:t>版权归数商云所有</w:t>
    </w:r>
    <w:r>
      <w:rPr>
        <w:rFonts w:hint="eastAsia" w:ascii="黑体" w:hAnsi="黑体" w:eastAsia="黑体"/>
        <w:color w:val="A6A6A6" w:themeColor="background1" w:themeShade="A6"/>
        <w:sz w:val="13"/>
        <w:szCs w:val="12"/>
      </w:rPr>
      <w:t>，</w:t>
    </w:r>
    <w:r>
      <w:rPr>
        <w:rFonts w:ascii="黑体" w:hAnsi="黑体" w:eastAsia="黑体"/>
        <w:color w:val="A6A6A6" w:themeColor="background1" w:themeShade="A6"/>
        <w:sz w:val="13"/>
        <w:szCs w:val="12"/>
      </w:rPr>
      <w:t>未经授权不得复制及转载，否则</w:t>
    </w:r>
    <w:r>
      <w:rPr>
        <w:rFonts w:hint="eastAsia" w:ascii="黑体" w:hAnsi="黑体" w:eastAsia="黑体"/>
        <w:color w:val="A6A6A6" w:themeColor="background1" w:themeShade="A6"/>
        <w:sz w:val="13"/>
        <w:szCs w:val="12"/>
      </w:rPr>
      <w:t>承担</w:t>
    </w:r>
    <w:r>
      <w:rPr>
        <w:rFonts w:ascii="黑体" w:hAnsi="黑体" w:eastAsia="黑体"/>
        <w:color w:val="A6A6A6" w:themeColor="background1" w:themeShade="A6"/>
        <w:sz w:val="13"/>
        <w:szCs w:val="12"/>
      </w:rPr>
      <w:t>相关法律责任。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sz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jc w:val="center"/>
    </w:pPr>
  </w:p>
  <w:p>
    <w:pPr>
      <w:pStyle w:val="13"/>
      <w:rPr>
        <w:sz w:val="2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>
        <w:pPr>
          <w:pStyle w:val="13"/>
          <w:jc w:val="center"/>
        </w:pP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PAGE 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  <w:lang w:val="zh-CN"/>
          </w:rPr>
          <w:t>2</w:t>
        </w:r>
        <w:r>
          <w:rPr>
            <w:b/>
            <w:bCs/>
          </w:rPr>
          <w:fldChar w:fldCharType="end"/>
        </w:r>
      </w:p>
    </w:sdtContent>
  </w:sdt>
  <w:p>
    <w:pPr>
      <w:pStyle w:val="13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left"/>
    </w:pPr>
    <w:r>
      <w:drawing>
        <wp:inline distT="0" distB="0" distL="0" distR="0">
          <wp:extent cx="1285875" cy="419100"/>
          <wp:effectExtent l="0" t="0" r="9525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9134" cy="459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lef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right"/>
      <w:rPr>
        <w:b/>
        <w:bCs/>
      </w:rPr>
    </w:pPr>
    <w:r>
      <w:rPr>
        <w:rFonts w:hint="eastAsia"/>
        <w:b/>
        <w:bCs/>
      </w:rPr>
      <w:t>瓴犀微服务平台详细设计-报表服务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B32023"/>
    <w:multiLevelType w:val="multilevel"/>
    <w:tmpl w:val="3AB3202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42027D42"/>
    <w:multiLevelType w:val="multilevel"/>
    <w:tmpl w:val="42027D4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4C477A17"/>
    <w:multiLevelType w:val="multilevel"/>
    <w:tmpl w:val="4C477A17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3">
    <w:nsid w:val="5BF50007"/>
    <w:multiLevelType w:val="multilevel"/>
    <w:tmpl w:val="5BF50007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4">
    <w:nsid w:val="7F4E1AB5"/>
    <w:multiLevelType w:val="multilevel"/>
    <w:tmpl w:val="7F4E1AB5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8D4"/>
    <w:rsid w:val="00001941"/>
    <w:rsid w:val="00003FB0"/>
    <w:rsid w:val="00004491"/>
    <w:rsid w:val="00005446"/>
    <w:rsid w:val="000075F3"/>
    <w:rsid w:val="00013BDE"/>
    <w:rsid w:val="000200BB"/>
    <w:rsid w:val="00025E72"/>
    <w:rsid w:val="00042260"/>
    <w:rsid w:val="00042FB6"/>
    <w:rsid w:val="0005304E"/>
    <w:rsid w:val="0006109A"/>
    <w:rsid w:val="0006575D"/>
    <w:rsid w:val="00071524"/>
    <w:rsid w:val="00071E05"/>
    <w:rsid w:val="000741C4"/>
    <w:rsid w:val="000749B0"/>
    <w:rsid w:val="00074C8A"/>
    <w:rsid w:val="000766F2"/>
    <w:rsid w:val="000837AD"/>
    <w:rsid w:val="00084C32"/>
    <w:rsid w:val="00085FB8"/>
    <w:rsid w:val="00091C66"/>
    <w:rsid w:val="00092134"/>
    <w:rsid w:val="00092830"/>
    <w:rsid w:val="000A1F5A"/>
    <w:rsid w:val="000A279B"/>
    <w:rsid w:val="000B38C3"/>
    <w:rsid w:val="000B6C49"/>
    <w:rsid w:val="000D0387"/>
    <w:rsid w:val="000D10BA"/>
    <w:rsid w:val="000D5285"/>
    <w:rsid w:val="000D60B9"/>
    <w:rsid w:val="000E3E31"/>
    <w:rsid w:val="000E65A9"/>
    <w:rsid w:val="000F003A"/>
    <w:rsid w:val="000F0247"/>
    <w:rsid w:val="000F6042"/>
    <w:rsid w:val="001019F9"/>
    <w:rsid w:val="00101C3C"/>
    <w:rsid w:val="00111573"/>
    <w:rsid w:val="00121B0D"/>
    <w:rsid w:val="0012555B"/>
    <w:rsid w:val="001259EE"/>
    <w:rsid w:val="00125AC0"/>
    <w:rsid w:val="00131427"/>
    <w:rsid w:val="001339C2"/>
    <w:rsid w:val="00141C62"/>
    <w:rsid w:val="00151B62"/>
    <w:rsid w:val="00154257"/>
    <w:rsid w:val="0015579C"/>
    <w:rsid w:val="00160B12"/>
    <w:rsid w:val="0018225B"/>
    <w:rsid w:val="00183313"/>
    <w:rsid w:val="001842EA"/>
    <w:rsid w:val="001A2AE1"/>
    <w:rsid w:val="001A32E3"/>
    <w:rsid w:val="001A61B7"/>
    <w:rsid w:val="001B3851"/>
    <w:rsid w:val="001C2A57"/>
    <w:rsid w:val="001C4A1B"/>
    <w:rsid w:val="001C59BE"/>
    <w:rsid w:val="001D1B0C"/>
    <w:rsid w:val="001D35D2"/>
    <w:rsid w:val="001D52F7"/>
    <w:rsid w:val="001F1957"/>
    <w:rsid w:val="001F29DB"/>
    <w:rsid w:val="001F3988"/>
    <w:rsid w:val="002011F0"/>
    <w:rsid w:val="00206476"/>
    <w:rsid w:val="00210789"/>
    <w:rsid w:val="00211DC0"/>
    <w:rsid w:val="0021240B"/>
    <w:rsid w:val="002131A0"/>
    <w:rsid w:val="002136E8"/>
    <w:rsid w:val="00215A87"/>
    <w:rsid w:val="00215CBA"/>
    <w:rsid w:val="00222E92"/>
    <w:rsid w:val="00225595"/>
    <w:rsid w:val="002308E6"/>
    <w:rsid w:val="00231549"/>
    <w:rsid w:val="002324CF"/>
    <w:rsid w:val="002472E3"/>
    <w:rsid w:val="00247559"/>
    <w:rsid w:val="00250B3E"/>
    <w:rsid w:val="00255C52"/>
    <w:rsid w:val="002601CC"/>
    <w:rsid w:val="002620C9"/>
    <w:rsid w:val="002630EA"/>
    <w:rsid w:val="00267863"/>
    <w:rsid w:val="0027445C"/>
    <w:rsid w:val="00283EE4"/>
    <w:rsid w:val="002855B1"/>
    <w:rsid w:val="0028762A"/>
    <w:rsid w:val="00291759"/>
    <w:rsid w:val="002919CC"/>
    <w:rsid w:val="00292D3C"/>
    <w:rsid w:val="00297BCD"/>
    <w:rsid w:val="00297DAA"/>
    <w:rsid w:val="00297EAA"/>
    <w:rsid w:val="002A0004"/>
    <w:rsid w:val="002B2794"/>
    <w:rsid w:val="002B2942"/>
    <w:rsid w:val="002B5D7E"/>
    <w:rsid w:val="002B72E1"/>
    <w:rsid w:val="002D4320"/>
    <w:rsid w:val="002D4EB5"/>
    <w:rsid w:val="002D5FD3"/>
    <w:rsid w:val="002E0429"/>
    <w:rsid w:val="002E0A84"/>
    <w:rsid w:val="002E127D"/>
    <w:rsid w:val="002E1DDB"/>
    <w:rsid w:val="002E6239"/>
    <w:rsid w:val="003022DC"/>
    <w:rsid w:val="00311B51"/>
    <w:rsid w:val="00311EC0"/>
    <w:rsid w:val="00312518"/>
    <w:rsid w:val="00316B66"/>
    <w:rsid w:val="00317B3D"/>
    <w:rsid w:val="00321F0F"/>
    <w:rsid w:val="0033513D"/>
    <w:rsid w:val="00335896"/>
    <w:rsid w:val="00337688"/>
    <w:rsid w:val="00337751"/>
    <w:rsid w:val="00337768"/>
    <w:rsid w:val="00344A6D"/>
    <w:rsid w:val="003463C6"/>
    <w:rsid w:val="00346D5C"/>
    <w:rsid w:val="0035360E"/>
    <w:rsid w:val="00355006"/>
    <w:rsid w:val="00363404"/>
    <w:rsid w:val="00372BC3"/>
    <w:rsid w:val="0037347E"/>
    <w:rsid w:val="00381403"/>
    <w:rsid w:val="00383A91"/>
    <w:rsid w:val="003860C6"/>
    <w:rsid w:val="003A248B"/>
    <w:rsid w:val="003A7A00"/>
    <w:rsid w:val="003B7F68"/>
    <w:rsid w:val="003C0B01"/>
    <w:rsid w:val="003C15DB"/>
    <w:rsid w:val="003C3A92"/>
    <w:rsid w:val="003C4030"/>
    <w:rsid w:val="003C449C"/>
    <w:rsid w:val="003C5B43"/>
    <w:rsid w:val="003D00B5"/>
    <w:rsid w:val="003D0155"/>
    <w:rsid w:val="003D1248"/>
    <w:rsid w:val="003D2342"/>
    <w:rsid w:val="003D5710"/>
    <w:rsid w:val="003D666D"/>
    <w:rsid w:val="003D6DE6"/>
    <w:rsid w:val="003E0970"/>
    <w:rsid w:val="003E2415"/>
    <w:rsid w:val="003E44ED"/>
    <w:rsid w:val="003F279E"/>
    <w:rsid w:val="00410C55"/>
    <w:rsid w:val="00416DD8"/>
    <w:rsid w:val="0042723A"/>
    <w:rsid w:val="00432C1F"/>
    <w:rsid w:val="0043486C"/>
    <w:rsid w:val="00437FAE"/>
    <w:rsid w:val="004402B8"/>
    <w:rsid w:val="00443729"/>
    <w:rsid w:val="00447861"/>
    <w:rsid w:val="00450DEB"/>
    <w:rsid w:val="00454120"/>
    <w:rsid w:val="0045686C"/>
    <w:rsid w:val="0045762D"/>
    <w:rsid w:val="00464C5B"/>
    <w:rsid w:val="00474588"/>
    <w:rsid w:val="00480161"/>
    <w:rsid w:val="004A6940"/>
    <w:rsid w:val="004B3B64"/>
    <w:rsid w:val="004C0830"/>
    <w:rsid w:val="004C11E3"/>
    <w:rsid w:val="004C4EE6"/>
    <w:rsid w:val="004D065D"/>
    <w:rsid w:val="004D4B56"/>
    <w:rsid w:val="004D5015"/>
    <w:rsid w:val="004D69C6"/>
    <w:rsid w:val="004E1C31"/>
    <w:rsid w:val="004E433F"/>
    <w:rsid w:val="004E5254"/>
    <w:rsid w:val="004E7FF4"/>
    <w:rsid w:val="004F3733"/>
    <w:rsid w:val="004F49ED"/>
    <w:rsid w:val="004F555B"/>
    <w:rsid w:val="004F615D"/>
    <w:rsid w:val="00500548"/>
    <w:rsid w:val="00502076"/>
    <w:rsid w:val="00506578"/>
    <w:rsid w:val="005130CA"/>
    <w:rsid w:val="00513DC8"/>
    <w:rsid w:val="0051632B"/>
    <w:rsid w:val="005359AC"/>
    <w:rsid w:val="005378EF"/>
    <w:rsid w:val="0054078C"/>
    <w:rsid w:val="00544AD0"/>
    <w:rsid w:val="0055317E"/>
    <w:rsid w:val="005540D4"/>
    <w:rsid w:val="00555F9A"/>
    <w:rsid w:val="0055627D"/>
    <w:rsid w:val="00560123"/>
    <w:rsid w:val="00562949"/>
    <w:rsid w:val="00562D88"/>
    <w:rsid w:val="00566FB3"/>
    <w:rsid w:val="00567679"/>
    <w:rsid w:val="00573E12"/>
    <w:rsid w:val="00575530"/>
    <w:rsid w:val="0057627A"/>
    <w:rsid w:val="00581524"/>
    <w:rsid w:val="00585FCD"/>
    <w:rsid w:val="00586CA5"/>
    <w:rsid w:val="00590387"/>
    <w:rsid w:val="0059183D"/>
    <w:rsid w:val="00591F86"/>
    <w:rsid w:val="005932E6"/>
    <w:rsid w:val="005950A5"/>
    <w:rsid w:val="00596792"/>
    <w:rsid w:val="005A55FB"/>
    <w:rsid w:val="005B0B90"/>
    <w:rsid w:val="005B458B"/>
    <w:rsid w:val="005C0934"/>
    <w:rsid w:val="005C2223"/>
    <w:rsid w:val="005C2BA3"/>
    <w:rsid w:val="005C7EAB"/>
    <w:rsid w:val="005D1703"/>
    <w:rsid w:val="005D70DA"/>
    <w:rsid w:val="005D737E"/>
    <w:rsid w:val="005F7280"/>
    <w:rsid w:val="005F7D3F"/>
    <w:rsid w:val="0060094D"/>
    <w:rsid w:val="006025E9"/>
    <w:rsid w:val="006058F6"/>
    <w:rsid w:val="0061376F"/>
    <w:rsid w:val="006160EF"/>
    <w:rsid w:val="00620B2A"/>
    <w:rsid w:val="00620EF6"/>
    <w:rsid w:val="0062171E"/>
    <w:rsid w:val="006253E5"/>
    <w:rsid w:val="00627988"/>
    <w:rsid w:val="00632322"/>
    <w:rsid w:val="006344E6"/>
    <w:rsid w:val="006348DD"/>
    <w:rsid w:val="00640B1F"/>
    <w:rsid w:val="0064268A"/>
    <w:rsid w:val="00657568"/>
    <w:rsid w:val="006624C0"/>
    <w:rsid w:val="00663D4E"/>
    <w:rsid w:val="00666A11"/>
    <w:rsid w:val="00666B45"/>
    <w:rsid w:val="00670856"/>
    <w:rsid w:val="006739AA"/>
    <w:rsid w:val="00673FE6"/>
    <w:rsid w:val="0067437A"/>
    <w:rsid w:val="0067446D"/>
    <w:rsid w:val="00674503"/>
    <w:rsid w:val="00676208"/>
    <w:rsid w:val="00676D21"/>
    <w:rsid w:val="006A64CB"/>
    <w:rsid w:val="006B0EFC"/>
    <w:rsid w:val="006B15C0"/>
    <w:rsid w:val="006B28B5"/>
    <w:rsid w:val="006C0BED"/>
    <w:rsid w:val="006C1B99"/>
    <w:rsid w:val="006C1DE1"/>
    <w:rsid w:val="006C2F35"/>
    <w:rsid w:val="006C4E24"/>
    <w:rsid w:val="006D0C0A"/>
    <w:rsid w:val="006D0D57"/>
    <w:rsid w:val="006D0E10"/>
    <w:rsid w:val="006D1529"/>
    <w:rsid w:val="006D22DC"/>
    <w:rsid w:val="006D2973"/>
    <w:rsid w:val="006E6E4C"/>
    <w:rsid w:val="006F2814"/>
    <w:rsid w:val="006F771D"/>
    <w:rsid w:val="00703275"/>
    <w:rsid w:val="007105EE"/>
    <w:rsid w:val="00721A94"/>
    <w:rsid w:val="00721B03"/>
    <w:rsid w:val="00721FE2"/>
    <w:rsid w:val="00723D19"/>
    <w:rsid w:val="007305C7"/>
    <w:rsid w:val="00734EBA"/>
    <w:rsid w:val="00735715"/>
    <w:rsid w:val="00736E9D"/>
    <w:rsid w:val="007429DA"/>
    <w:rsid w:val="00742E08"/>
    <w:rsid w:val="0075134B"/>
    <w:rsid w:val="0075275E"/>
    <w:rsid w:val="0075348B"/>
    <w:rsid w:val="00755C47"/>
    <w:rsid w:val="00756476"/>
    <w:rsid w:val="00766C72"/>
    <w:rsid w:val="00772E5F"/>
    <w:rsid w:val="00783979"/>
    <w:rsid w:val="00786995"/>
    <w:rsid w:val="00787EEC"/>
    <w:rsid w:val="00795EC5"/>
    <w:rsid w:val="0079734A"/>
    <w:rsid w:val="007A1ED0"/>
    <w:rsid w:val="007A4BFA"/>
    <w:rsid w:val="007A6016"/>
    <w:rsid w:val="007A6571"/>
    <w:rsid w:val="007B0FA4"/>
    <w:rsid w:val="007B386C"/>
    <w:rsid w:val="007B5B79"/>
    <w:rsid w:val="007C1254"/>
    <w:rsid w:val="007C2918"/>
    <w:rsid w:val="007C2954"/>
    <w:rsid w:val="007C3430"/>
    <w:rsid w:val="007E5567"/>
    <w:rsid w:val="007E77AE"/>
    <w:rsid w:val="007F0E7B"/>
    <w:rsid w:val="008008D4"/>
    <w:rsid w:val="008015D8"/>
    <w:rsid w:val="008050B5"/>
    <w:rsid w:val="008118DC"/>
    <w:rsid w:val="00812BBC"/>
    <w:rsid w:val="00814932"/>
    <w:rsid w:val="00823567"/>
    <w:rsid w:val="00827EA1"/>
    <w:rsid w:val="00833A17"/>
    <w:rsid w:val="008351B0"/>
    <w:rsid w:val="00836878"/>
    <w:rsid w:val="00841132"/>
    <w:rsid w:val="00845EFD"/>
    <w:rsid w:val="00850623"/>
    <w:rsid w:val="008517DE"/>
    <w:rsid w:val="00860F44"/>
    <w:rsid w:val="00862112"/>
    <w:rsid w:val="0086668F"/>
    <w:rsid w:val="00866C87"/>
    <w:rsid w:val="00866DBC"/>
    <w:rsid w:val="00877BC9"/>
    <w:rsid w:val="00881EFE"/>
    <w:rsid w:val="00885C54"/>
    <w:rsid w:val="00892184"/>
    <w:rsid w:val="008B2ED7"/>
    <w:rsid w:val="008B411C"/>
    <w:rsid w:val="008B437F"/>
    <w:rsid w:val="008B5448"/>
    <w:rsid w:val="008B5CB7"/>
    <w:rsid w:val="008B5FBB"/>
    <w:rsid w:val="008B796E"/>
    <w:rsid w:val="008C051D"/>
    <w:rsid w:val="008C0E05"/>
    <w:rsid w:val="008C1D1D"/>
    <w:rsid w:val="008C4A26"/>
    <w:rsid w:val="008D2373"/>
    <w:rsid w:val="008D6394"/>
    <w:rsid w:val="008E214B"/>
    <w:rsid w:val="008F412C"/>
    <w:rsid w:val="008F49DD"/>
    <w:rsid w:val="00904BBD"/>
    <w:rsid w:val="00904E47"/>
    <w:rsid w:val="00906856"/>
    <w:rsid w:val="00910321"/>
    <w:rsid w:val="00915883"/>
    <w:rsid w:val="00916F0B"/>
    <w:rsid w:val="00917C06"/>
    <w:rsid w:val="009223A3"/>
    <w:rsid w:val="009271D8"/>
    <w:rsid w:val="009331AD"/>
    <w:rsid w:val="00933F7C"/>
    <w:rsid w:val="00934709"/>
    <w:rsid w:val="00934968"/>
    <w:rsid w:val="00935841"/>
    <w:rsid w:val="00936224"/>
    <w:rsid w:val="00936389"/>
    <w:rsid w:val="00937548"/>
    <w:rsid w:val="00941086"/>
    <w:rsid w:val="00942F34"/>
    <w:rsid w:val="009467E7"/>
    <w:rsid w:val="0094791A"/>
    <w:rsid w:val="00953FDF"/>
    <w:rsid w:val="00956FA9"/>
    <w:rsid w:val="00960817"/>
    <w:rsid w:val="009673E6"/>
    <w:rsid w:val="00970BCB"/>
    <w:rsid w:val="00971609"/>
    <w:rsid w:val="00975F5D"/>
    <w:rsid w:val="00976336"/>
    <w:rsid w:val="00980D29"/>
    <w:rsid w:val="00981D8E"/>
    <w:rsid w:val="0099584B"/>
    <w:rsid w:val="009A36BE"/>
    <w:rsid w:val="009A56FF"/>
    <w:rsid w:val="009A5996"/>
    <w:rsid w:val="009B5A08"/>
    <w:rsid w:val="009B62EB"/>
    <w:rsid w:val="009B7B5D"/>
    <w:rsid w:val="009C1234"/>
    <w:rsid w:val="009C18FD"/>
    <w:rsid w:val="009C3013"/>
    <w:rsid w:val="009C3B79"/>
    <w:rsid w:val="009C4A30"/>
    <w:rsid w:val="009C6BDA"/>
    <w:rsid w:val="009D14EC"/>
    <w:rsid w:val="009D1866"/>
    <w:rsid w:val="009D533A"/>
    <w:rsid w:val="009E13B3"/>
    <w:rsid w:val="009E267A"/>
    <w:rsid w:val="009E3BBE"/>
    <w:rsid w:val="009E5E8C"/>
    <w:rsid w:val="009F2FA6"/>
    <w:rsid w:val="009F489D"/>
    <w:rsid w:val="009F4D75"/>
    <w:rsid w:val="00A02CF8"/>
    <w:rsid w:val="00A04FAF"/>
    <w:rsid w:val="00A05597"/>
    <w:rsid w:val="00A060B4"/>
    <w:rsid w:val="00A1024F"/>
    <w:rsid w:val="00A1393A"/>
    <w:rsid w:val="00A1625C"/>
    <w:rsid w:val="00A17FDB"/>
    <w:rsid w:val="00A229FA"/>
    <w:rsid w:val="00A3205B"/>
    <w:rsid w:val="00A35CF4"/>
    <w:rsid w:val="00A500FA"/>
    <w:rsid w:val="00A51211"/>
    <w:rsid w:val="00A54A0F"/>
    <w:rsid w:val="00A54F07"/>
    <w:rsid w:val="00A55557"/>
    <w:rsid w:val="00A62A8C"/>
    <w:rsid w:val="00A62AF8"/>
    <w:rsid w:val="00A63353"/>
    <w:rsid w:val="00A64B72"/>
    <w:rsid w:val="00A711AA"/>
    <w:rsid w:val="00A7240A"/>
    <w:rsid w:val="00A74BC9"/>
    <w:rsid w:val="00A80953"/>
    <w:rsid w:val="00A8151B"/>
    <w:rsid w:val="00A84602"/>
    <w:rsid w:val="00A8502E"/>
    <w:rsid w:val="00A87A87"/>
    <w:rsid w:val="00A92165"/>
    <w:rsid w:val="00A94C47"/>
    <w:rsid w:val="00A957AD"/>
    <w:rsid w:val="00A957EC"/>
    <w:rsid w:val="00A967DB"/>
    <w:rsid w:val="00AA08C3"/>
    <w:rsid w:val="00AA0DE6"/>
    <w:rsid w:val="00AA2CD5"/>
    <w:rsid w:val="00AA71DB"/>
    <w:rsid w:val="00AA7A1E"/>
    <w:rsid w:val="00AB50ED"/>
    <w:rsid w:val="00AB5F77"/>
    <w:rsid w:val="00AC21FB"/>
    <w:rsid w:val="00AC4164"/>
    <w:rsid w:val="00AC5687"/>
    <w:rsid w:val="00AD33EB"/>
    <w:rsid w:val="00AD43AB"/>
    <w:rsid w:val="00AD4AF6"/>
    <w:rsid w:val="00AD7329"/>
    <w:rsid w:val="00AE0B81"/>
    <w:rsid w:val="00AE59C4"/>
    <w:rsid w:val="00B00A4E"/>
    <w:rsid w:val="00B0149C"/>
    <w:rsid w:val="00B063D3"/>
    <w:rsid w:val="00B07BA8"/>
    <w:rsid w:val="00B07D79"/>
    <w:rsid w:val="00B11AA3"/>
    <w:rsid w:val="00B17263"/>
    <w:rsid w:val="00B23E6B"/>
    <w:rsid w:val="00B34D2D"/>
    <w:rsid w:val="00B35086"/>
    <w:rsid w:val="00B374E9"/>
    <w:rsid w:val="00B41043"/>
    <w:rsid w:val="00B43D40"/>
    <w:rsid w:val="00B45F8F"/>
    <w:rsid w:val="00B51ABD"/>
    <w:rsid w:val="00B57E06"/>
    <w:rsid w:val="00B62668"/>
    <w:rsid w:val="00B66326"/>
    <w:rsid w:val="00B67B33"/>
    <w:rsid w:val="00B71697"/>
    <w:rsid w:val="00B86691"/>
    <w:rsid w:val="00BA2A65"/>
    <w:rsid w:val="00BC015B"/>
    <w:rsid w:val="00BC2D8B"/>
    <w:rsid w:val="00BC6119"/>
    <w:rsid w:val="00BD4F2A"/>
    <w:rsid w:val="00BE0350"/>
    <w:rsid w:val="00BF2413"/>
    <w:rsid w:val="00BF474A"/>
    <w:rsid w:val="00BF5DCF"/>
    <w:rsid w:val="00BF5F3A"/>
    <w:rsid w:val="00C004ED"/>
    <w:rsid w:val="00C005B2"/>
    <w:rsid w:val="00C039B8"/>
    <w:rsid w:val="00C131EE"/>
    <w:rsid w:val="00C147EB"/>
    <w:rsid w:val="00C15059"/>
    <w:rsid w:val="00C174A3"/>
    <w:rsid w:val="00C20D34"/>
    <w:rsid w:val="00C20DC1"/>
    <w:rsid w:val="00C21A8A"/>
    <w:rsid w:val="00C23EB4"/>
    <w:rsid w:val="00C27E43"/>
    <w:rsid w:val="00C3248B"/>
    <w:rsid w:val="00C36C82"/>
    <w:rsid w:val="00C459D7"/>
    <w:rsid w:val="00C62EB3"/>
    <w:rsid w:val="00C64531"/>
    <w:rsid w:val="00C65278"/>
    <w:rsid w:val="00C70B4A"/>
    <w:rsid w:val="00C743CE"/>
    <w:rsid w:val="00C758F5"/>
    <w:rsid w:val="00C774F0"/>
    <w:rsid w:val="00C7761B"/>
    <w:rsid w:val="00C777FD"/>
    <w:rsid w:val="00C81902"/>
    <w:rsid w:val="00C82BD0"/>
    <w:rsid w:val="00C8383B"/>
    <w:rsid w:val="00C86A71"/>
    <w:rsid w:val="00C87ABC"/>
    <w:rsid w:val="00C87DA8"/>
    <w:rsid w:val="00C91450"/>
    <w:rsid w:val="00C95BFE"/>
    <w:rsid w:val="00CA0AE6"/>
    <w:rsid w:val="00CA1E01"/>
    <w:rsid w:val="00CA2C37"/>
    <w:rsid w:val="00CA63DF"/>
    <w:rsid w:val="00CA7BC8"/>
    <w:rsid w:val="00CB0E9C"/>
    <w:rsid w:val="00CB382E"/>
    <w:rsid w:val="00CB4447"/>
    <w:rsid w:val="00CB7EFE"/>
    <w:rsid w:val="00CC4F43"/>
    <w:rsid w:val="00CC51AE"/>
    <w:rsid w:val="00CD486A"/>
    <w:rsid w:val="00CD6A60"/>
    <w:rsid w:val="00CE551C"/>
    <w:rsid w:val="00CF1E3F"/>
    <w:rsid w:val="00D04530"/>
    <w:rsid w:val="00D1127F"/>
    <w:rsid w:val="00D124B7"/>
    <w:rsid w:val="00D173A8"/>
    <w:rsid w:val="00D173F8"/>
    <w:rsid w:val="00D20835"/>
    <w:rsid w:val="00D275C5"/>
    <w:rsid w:val="00D31205"/>
    <w:rsid w:val="00D334C0"/>
    <w:rsid w:val="00D36FBA"/>
    <w:rsid w:val="00D5117D"/>
    <w:rsid w:val="00D51724"/>
    <w:rsid w:val="00D51BEC"/>
    <w:rsid w:val="00D53171"/>
    <w:rsid w:val="00D531B2"/>
    <w:rsid w:val="00D55B12"/>
    <w:rsid w:val="00D57266"/>
    <w:rsid w:val="00D62D19"/>
    <w:rsid w:val="00D747EC"/>
    <w:rsid w:val="00D74BCD"/>
    <w:rsid w:val="00D8399B"/>
    <w:rsid w:val="00D83A26"/>
    <w:rsid w:val="00D846A5"/>
    <w:rsid w:val="00D855D0"/>
    <w:rsid w:val="00D85DA7"/>
    <w:rsid w:val="00D8764E"/>
    <w:rsid w:val="00D94945"/>
    <w:rsid w:val="00D94D04"/>
    <w:rsid w:val="00DA2756"/>
    <w:rsid w:val="00DB5E53"/>
    <w:rsid w:val="00DB7C73"/>
    <w:rsid w:val="00DC00E4"/>
    <w:rsid w:val="00DC433D"/>
    <w:rsid w:val="00DC4B72"/>
    <w:rsid w:val="00DD5F84"/>
    <w:rsid w:val="00DE44E5"/>
    <w:rsid w:val="00DF22C3"/>
    <w:rsid w:val="00DF3248"/>
    <w:rsid w:val="00DF3954"/>
    <w:rsid w:val="00E0279D"/>
    <w:rsid w:val="00E07DD3"/>
    <w:rsid w:val="00E1067F"/>
    <w:rsid w:val="00E20E9E"/>
    <w:rsid w:val="00E22DB8"/>
    <w:rsid w:val="00E25110"/>
    <w:rsid w:val="00E27D59"/>
    <w:rsid w:val="00E33D12"/>
    <w:rsid w:val="00E3659C"/>
    <w:rsid w:val="00E40369"/>
    <w:rsid w:val="00E40D8C"/>
    <w:rsid w:val="00E43D8F"/>
    <w:rsid w:val="00E47FA8"/>
    <w:rsid w:val="00E5055E"/>
    <w:rsid w:val="00E52148"/>
    <w:rsid w:val="00E52A8C"/>
    <w:rsid w:val="00E617A3"/>
    <w:rsid w:val="00E61CBD"/>
    <w:rsid w:val="00E64284"/>
    <w:rsid w:val="00E67F09"/>
    <w:rsid w:val="00E720A3"/>
    <w:rsid w:val="00E7447A"/>
    <w:rsid w:val="00E77E80"/>
    <w:rsid w:val="00E8335F"/>
    <w:rsid w:val="00E85466"/>
    <w:rsid w:val="00E873B7"/>
    <w:rsid w:val="00E94CA2"/>
    <w:rsid w:val="00E9758A"/>
    <w:rsid w:val="00EA036F"/>
    <w:rsid w:val="00EA130D"/>
    <w:rsid w:val="00EA1ACC"/>
    <w:rsid w:val="00EB0260"/>
    <w:rsid w:val="00EB111E"/>
    <w:rsid w:val="00EB1562"/>
    <w:rsid w:val="00EB1E41"/>
    <w:rsid w:val="00EB231A"/>
    <w:rsid w:val="00EB41CF"/>
    <w:rsid w:val="00EB6E3C"/>
    <w:rsid w:val="00EB7F83"/>
    <w:rsid w:val="00EC52CD"/>
    <w:rsid w:val="00EC6FEE"/>
    <w:rsid w:val="00EC70C8"/>
    <w:rsid w:val="00ED316D"/>
    <w:rsid w:val="00ED4144"/>
    <w:rsid w:val="00ED7F02"/>
    <w:rsid w:val="00EE06C8"/>
    <w:rsid w:val="00EE0F86"/>
    <w:rsid w:val="00EE2F75"/>
    <w:rsid w:val="00EE6DE8"/>
    <w:rsid w:val="00EE72D5"/>
    <w:rsid w:val="00EF5EE7"/>
    <w:rsid w:val="00EF6DF6"/>
    <w:rsid w:val="00F02AB9"/>
    <w:rsid w:val="00F035DA"/>
    <w:rsid w:val="00F10F07"/>
    <w:rsid w:val="00F11D5F"/>
    <w:rsid w:val="00F1219B"/>
    <w:rsid w:val="00F132D0"/>
    <w:rsid w:val="00F1406E"/>
    <w:rsid w:val="00F140BC"/>
    <w:rsid w:val="00F15CBC"/>
    <w:rsid w:val="00F16B5B"/>
    <w:rsid w:val="00F24084"/>
    <w:rsid w:val="00F249F4"/>
    <w:rsid w:val="00F27A15"/>
    <w:rsid w:val="00F345F9"/>
    <w:rsid w:val="00F40DFE"/>
    <w:rsid w:val="00F412B2"/>
    <w:rsid w:val="00F436A2"/>
    <w:rsid w:val="00F45ED9"/>
    <w:rsid w:val="00F46574"/>
    <w:rsid w:val="00F52777"/>
    <w:rsid w:val="00F810D6"/>
    <w:rsid w:val="00F81314"/>
    <w:rsid w:val="00F820A2"/>
    <w:rsid w:val="00F85EFA"/>
    <w:rsid w:val="00F86BC6"/>
    <w:rsid w:val="00F86FEF"/>
    <w:rsid w:val="00F904D2"/>
    <w:rsid w:val="00F905B2"/>
    <w:rsid w:val="00F94861"/>
    <w:rsid w:val="00F94BAE"/>
    <w:rsid w:val="00F95BAE"/>
    <w:rsid w:val="00FA2727"/>
    <w:rsid w:val="00FA5D06"/>
    <w:rsid w:val="00FB52D8"/>
    <w:rsid w:val="00FC364B"/>
    <w:rsid w:val="00FD021D"/>
    <w:rsid w:val="00FD2058"/>
    <w:rsid w:val="00FD215F"/>
    <w:rsid w:val="00FD354B"/>
    <w:rsid w:val="00FE117E"/>
    <w:rsid w:val="00FE54A6"/>
    <w:rsid w:val="00FF0751"/>
    <w:rsid w:val="00FF0AF0"/>
    <w:rsid w:val="00FF2368"/>
    <w:rsid w:val="00FF5467"/>
    <w:rsid w:val="1FFA0777"/>
    <w:rsid w:val="2F7A30E9"/>
    <w:rsid w:val="3FF340F7"/>
    <w:rsid w:val="55FFEAC1"/>
    <w:rsid w:val="67FE88C8"/>
    <w:rsid w:val="757B06F6"/>
    <w:rsid w:val="7AFBB31D"/>
    <w:rsid w:val="7DDECA6B"/>
    <w:rsid w:val="7FBFF5C0"/>
    <w:rsid w:val="94FFD694"/>
    <w:rsid w:val="B8FB0142"/>
    <w:rsid w:val="DBBB24C4"/>
    <w:rsid w:val="DF51FDA9"/>
    <w:rsid w:val="DFBF0F8C"/>
    <w:rsid w:val="DFD7FEDD"/>
    <w:rsid w:val="E6657607"/>
    <w:rsid w:val="EEFFCB0D"/>
    <w:rsid w:val="FBF2A396"/>
    <w:rsid w:val="FF67ED33"/>
    <w:rsid w:val="FF6BCE25"/>
    <w:rsid w:val="FFFFB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9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0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 w:val="21"/>
      <w:szCs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2">
    <w:name w:val="Date"/>
    <w:basedOn w:val="1"/>
    <w:next w:val="1"/>
    <w:link w:val="24"/>
    <w:semiHidden/>
    <w:unhideWhenUsed/>
    <w:qFormat/>
    <w:uiPriority w:val="99"/>
    <w:pPr>
      <w:ind w:left="100" w:leftChars="2500"/>
    </w:pPr>
  </w:style>
  <w:style w:type="paragraph" w:styleId="13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4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7">
    <w:name w:val="HTML Preformatted"/>
    <w:basedOn w:val="1"/>
    <w:link w:val="36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hAnsi="宋体" w:cs="宋体"/>
      <w:kern w:val="0"/>
      <w:szCs w:val="24"/>
    </w:r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2">
    <w:name w:val="页眉 字符"/>
    <w:basedOn w:val="20"/>
    <w:link w:val="14"/>
    <w:qFormat/>
    <w:uiPriority w:val="99"/>
    <w:rPr>
      <w:rFonts w:eastAsia="宋体"/>
      <w:sz w:val="18"/>
      <w:szCs w:val="18"/>
    </w:rPr>
  </w:style>
  <w:style w:type="character" w:customStyle="1" w:styleId="23">
    <w:name w:val="页脚 字符"/>
    <w:basedOn w:val="20"/>
    <w:link w:val="13"/>
    <w:qFormat/>
    <w:uiPriority w:val="99"/>
    <w:rPr>
      <w:rFonts w:eastAsia="宋体"/>
      <w:sz w:val="18"/>
      <w:szCs w:val="18"/>
    </w:rPr>
  </w:style>
  <w:style w:type="character" w:customStyle="1" w:styleId="24">
    <w:name w:val="日期 字符"/>
    <w:basedOn w:val="20"/>
    <w:link w:val="12"/>
    <w:semiHidden/>
    <w:qFormat/>
    <w:uiPriority w:val="99"/>
    <w:rPr>
      <w:rFonts w:eastAsia="宋体"/>
      <w:sz w:val="24"/>
    </w:rPr>
  </w:style>
  <w:style w:type="character" w:customStyle="1" w:styleId="25">
    <w:name w:val="标题 1 字符"/>
    <w:basedOn w:val="20"/>
    <w:link w:val="2"/>
    <w:qFormat/>
    <w:uiPriority w:val="9"/>
    <w:rPr>
      <w:rFonts w:eastAsia="宋体"/>
      <w:b/>
      <w:bCs/>
      <w:kern w:val="44"/>
      <w:sz w:val="44"/>
      <w:szCs w:val="44"/>
    </w:rPr>
  </w:style>
  <w:style w:type="paragraph" w:customStyle="1" w:styleId="26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7">
    <w:name w:val="标题 2 字符"/>
    <w:basedOn w:val="2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8">
    <w:name w:val="标题 3 字符"/>
    <w:basedOn w:val="20"/>
    <w:link w:val="4"/>
    <w:qFormat/>
    <w:uiPriority w:val="9"/>
    <w:rPr>
      <w:rFonts w:eastAsia="宋体"/>
      <w:b/>
      <w:bCs/>
      <w:sz w:val="32"/>
      <w:szCs w:val="32"/>
    </w:rPr>
  </w:style>
  <w:style w:type="character" w:customStyle="1" w:styleId="29">
    <w:name w:val="标题 4 字符"/>
    <w:basedOn w:val="20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0">
    <w:name w:val="标题 5 字符"/>
    <w:basedOn w:val="20"/>
    <w:link w:val="6"/>
    <w:semiHidden/>
    <w:qFormat/>
    <w:uiPriority w:val="9"/>
    <w:rPr>
      <w:rFonts w:eastAsia="宋体"/>
      <w:b/>
      <w:bCs/>
      <w:sz w:val="28"/>
      <w:szCs w:val="28"/>
    </w:rPr>
  </w:style>
  <w:style w:type="character" w:customStyle="1" w:styleId="31">
    <w:name w:val="标题 6 字符"/>
    <w:basedOn w:val="20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2">
    <w:name w:val="标题 7 字符"/>
    <w:basedOn w:val="20"/>
    <w:link w:val="8"/>
    <w:semiHidden/>
    <w:qFormat/>
    <w:uiPriority w:val="9"/>
    <w:rPr>
      <w:rFonts w:eastAsia="宋体"/>
      <w:b/>
      <w:bCs/>
      <w:sz w:val="24"/>
      <w:szCs w:val="24"/>
    </w:rPr>
  </w:style>
  <w:style w:type="character" w:customStyle="1" w:styleId="33">
    <w:name w:val="标题 8 字符"/>
    <w:basedOn w:val="20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4">
    <w:name w:val="标题 9 字符"/>
    <w:basedOn w:val="20"/>
    <w:link w:val="10"/>
    <w:semiHidden/>
    <w:qFormat/>
    <w:uiPriority w:val="9"/>
    <w:rPr>
      <w:rFonts w:asciiTheme="majorHAnsi" w:hAnsiTheme="majorHAnsi" w:eastAsiaTheme="majorEastAsia" w:cstheme="majorBidi"/>
      <w:szCs w:val="21"/>
    </w:rPr>
  </w:style>
  <w:style w:type="character" w:styleId="35">
    <w:name w:val="Placeholder Text"/>
    <w:basedOn w:val="20"/>
    <w:semiHidden/>
    <w:qFormat/>
    <w:uiPriority w:val="99"/>
    <w:rPr>
      <w:color w:val="808080"/>
    </w:rPr>
  </w:style>
  <w:style w:type="character" w:customStyle="1" w:styleId="36">
    <w:name w:val="HTML 预设格式 字符"/>
    <w:basedOn w:val="20"/>
    <w:link w:val="17"/>
    <w:qFormat/>
    <w:uiPriority w:val="99"/>
    <w:rPr>
      <w:rFonts w:ascii="宋体" w:hAnsi="宋体" w:eastAsia="宋体" w:cs="宋体"/>
      <w:kern w:val="0"/>
      <w:sz w:val="24"/>
      <w:szCs w:val="24"/>
    </w:rPr>
  </w:style>
  <w:style w:type="paragraph" w:styleId="37">
    <w:name w:val="List Paragraph"/>
    <w:basedOn w:val="1"/>
    <w:qFormat/>
    <w:uiPriority w:val="34"/>
    <w:pPr>
      <w:ind w:firstLine="420" w:firstLineChars="200"/>
    </w:pPr>
  </w:style>
  <w:style w:type="paragraph" w:customStyle="1" w:styleId="38">
    <w:name w:val="Table_Medium"/>
    <w:qFormat/>
    <w:uiPriority w:val="0"/>
    <w:pPr>
      <w:spacing w:before="40" w:after="40"/>
    </w:pPr>
    <w:rPr>
      <w:rFonts w:ascii="Lucida Sans Unicode" w:hAnsi="Lucida Sans Unicode" w:eastAsia="Hiragino Kaku Gothic Pro" w:cs="Times New Roman"/>
      <w:color w:val="000000"/>
      <w:sz w:val="18"/>
      <w:lang w:val="en-GB" w:eastAsia="zh-CN" w:bidi="ar-SA"/>
    </w:rPr>
  </w:style>
  <w:style w:type="paragraph" w:customStyle="1" w:styleId="39">
    <w:name w:val="Table_Sm_Heading_Right"/>
    <w:qFormat/>
    <w:uiPriority w:val="0"/>
    <w:pPr>
      <w:keepNext/>
      <w:keepLines/>
      <w:spacing w:before="60" w:after="40"/>
      <w:jc w:val="right"/>
    </w:pPr>
    <w:rPr>
      <w:rFonts w:ascii="Lucida Sans Unicode" w:hAnsi="Lucida Sans Unicode" w:eastAsia="Hiragino Kaku Gothic Pro" w:cs="Times New Roman"/>
      <w:color w:val="000000"/>
      <w:sz w:val="16"/>
      <w:lang w:val="en-GB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2951</Words>
  <Characters>16827</Characters>
  <Lines>140</Lines>
  <Paragraphs>39</Paragraphs>
  <TotalTime>0</TotalTime>
  <ScaleCrop>false</ScaleCrop>
  <LinksUpToDate>false</LinksUpToDate>
  <CharactersWithSpaces>19739</CharactersWithSpaces>
  <Application>WPS Office_5.3.0.7872_F1E327BC-269C-435d-A152-05C5408002CA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2020-09-26T00:38:00Z</dcterms:created>
  <dc:creator>wuj</dc:creator>
  <cp:lastModifiedBy>下雨天</cp:lastModifiedBy>
  <dcterms:modified xsi:type="dcterms:W3CDTF">2024-09-03T17:20:44Z</dcterms:modified>
  <cp:revision>744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2052-5.3.0.7872</vt:lpwstr>
  </property>
  <property fmtid="{D5CDD505-2E9C-101B-9397-08002B2CF9AE}" pid="3" name="ICV">
    <vt:lpwstr>FFE6FAEAC2735DE616D5CE66C5D9B70F_42</vt:lpwstr>
  </property>
</Properties>
</file>