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瓴犀微服务平台系统设计</w:t>
      </w:r>
    </w:p>
    <w:p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交易</w:t>
      </w:r>
      <w:r>
        <w:rPr>
          <w:rFonts w:hint="eastAsia"/>
          <w:b/>
          <w:bCs/>
          <w:sz w:val="48"/>
          <w:szCs w:val="48"/>
        </w:rPr>
        <w:t>服务</w:t>
      </w:r>
    </w:p>
    <w:p/>
    <w:p/>
    <w:p/>
    <w:p/>
    <w:p/>
    <w:p/>
    <w:p/>
    <w:p/>
    <w:p>
      <w:pPr>
        <w:jc w:val="center"/>
        <w:rPr>
          <w:b/>
          <w:bCs/>
        </w:rPr>
      </w:pPr>
      <w:r>
        <w:rPr>
          <w:rFonts w:hint="eastAsia"/>
          <w:b/>
          <w:bCs/>
        </w:rPr>
        <w:t>广州数商云科技有限公司</w:t>
      </w:r>
    </w:p>
    <w:p>
      <w:pPr>
        <w:jc w:val="center"/>
        <w:rPr>
          <w:rFonts w:hint="default"/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02</w:t>
      </w:r>
      <w:r>
        <w:rPr>
          <w:rFonts w:hint="default"/>
          <w:b/>
          <w:bCs/>
        </w:rPr>
        <w:t>4</w:t>
      </w:r>
      <w:r>
        <w:rPr>
          <w:rFonts w:hint="eastAsia"/>
          <w:b/>
          <w:bCs/>
        </w:rPr>
        <w:t>-</w:t>
      </w:r>
      <w:r>
        <w:rPr>
          <w:rFonts w:hint="default"/>
          <w:b/>
          <w:bCs/>
        </w:rPr>
        <w:t>09</w:t>
      </w:r>
      <w:r>
        <w:rPr>
          <w:rFonts w:hint="eastAsia"/>
          <w:b/>
          <w:bCs/>
        </w:rPr>
        <w:t>-</w:t>
      </w:r>
      <w:r>
        <w:rPr>
          <w:rFonts w:hint="default"/>
          <w:b/>
          <w:bCs/>
        </w:rPr>
        <w:t>02</w:t>
      </w:r>
    </w:p>
    <w:p>
      <w:pPr>
        <w:jc w:val="center"/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修订记录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701"/>
        <w:gridCol w:w="1276"/>
        <w:gridCol w:w="390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修订人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修订说明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万宁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020.12.17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.0.0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初稿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陈建伟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2024.09.02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3.0.0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修订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vAlign w:val="center"/>
          </w:tcPr>
          <w:p>
            <w:pPr>
              <w:jc w:val="center"/>
            </w:pPr>
          </w:p>
        </w:tc>
        <w:tc>
          <w:tcPr>
            <w:tcW w:w="1276" w:type="dxa"/>
            <w:vAlign w:val="center"/>
          </w:tcPr>
          <w:p>
            <w:pPr>
              <w:jc w:val="center"/>
            </w:pPr>
          </w:p>
        </w:tc>
        <w:tc>
          <w:tcPr>
            <w:tcW w:w="3906" w:type="dxa"/>
            <w:vAlign w:val="center"/>
          </w:tcPr>
          <w:p>
            <w:pPr>
              <w:jc w:val="center"/>
            </w:pPr>
          </w:p>
        </w:tc>
      </w:tr>
    </w:tbl>
    <w:p/>
    <w:p>
      <w:p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sdt>
      <w:sdtPr>
        <w:rPr>
          <w:rFonts w:eastAsia="宋体" w:asciiTheme="minorHAnsi" w:hAnsiTheme="minorHAnsi" w:cstheme="minorBidi"/>
          <w:color w:val="auto"/>
          <w:kern w:val="2"/>
          <w:sz w:val="24"/>
          <w:szCs w:val="22"/>
          <w:lang w:val="zh-CN"/>
        </w:rPr>
        <w:id w:val="1074164390"/>
        <w:docPartObj>
          <w:docPartGallery w:val="Table of Contents"/>
          <w:docPartUnique/>
        </w:docPartObj>
      </w:sdtPr>
      <w:sdtEndPr>
        <w:rPr>
          <w:rFonts w:eastAsia="宋体" w:asciiTheme="minorHAnsi" w:hAnsiTheme="minorHAnsi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26"/>
            <w:numPr>
              <w:ilvl w:val="0"/>
              <w:numId w:val="0"/>
            </w:numPr>
            <w:ind w:left="432" w:hanging="432"/>
          </w:pPr>
          <w:r>
            <w:rPr>
              <w:lang w:val="zh-CN"/>
            </w:rPr>
            <w:t>目录</w:t>
          </w:r>
        </w:p>
        <w:p>
          <w:pPr>
            <w:pStyle w:val="15"/>
            <w:tabs>
              <w:tab w:val="right" w:leader="dot" w:pos="8306"/>
            </w:tabs>
          </w:pPr>
          <w:bookmarkStart w:id="30" w:name="_GoBack"/>
          <w:bookmarkEnd w:id="3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_Toc1062481540 </w:instrText>
          </w:r>
          <w:r>
            <w:fldChar w:fldCharType="separate"/>
          </w:r>
          <w:r>
            <w:rPr>
              <w:rFonts w:hint="eastAsia"/>
            </w:rPr>
            <w:t>1 概述</w:t>
          </w:r>
          <w:r>
            <w:tab/>
          </w:r>
          <w:r>
            <w:fldChar w:fldCharType="begin"/>
          </w:r>
          <w:r>
            <w:instrText xml:space="preserve"> PAGEREF _Toc1062481540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_Toc800717975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 功能说明</w:t>
          </w:r>
          <w:r>
            <w:tab/>
          </w:r>
          <w:r>
            <w:fldChar w:fldCharType="begin"/>
          </w:r>
          <w:r>
            <w:instrText xml:space="preserve"> PAGEREF _Toc800717975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_Toc1534473723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1.2 参考文档</w:t>
          </w:r>
          <w:r>
            <w:tab/>
          </w:r>
          <w:r>
            <w:fldChar w:fldCharType="begin"/>
          </w:r>
          <w:r>
            <w:instrText xml:space="preserve"> PAGEREF _Toc1534473723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_Toc768745638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1.3 文档说明</w:t>
          </w:r>
          <w:r>
            <w:tab/>
          </w:r>
          <w:r>
            <w:fldChar w:fldCharType="begin"/>
          </w:r>
          <w:r>
            <w:instrText xml:space="preserve"> PAGEREF _Toc768745638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_Toc1046317514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技术架构</w:t>
          </w:r>
          <w:r>
            <w:tab/>
          </w:r>
          <w:r>
            <w:fldChar w:fldCharType="begin"/>
          </w:r>
          <w:r>
            <w:instrText xml:space="preserve"> PAGEREF _Toc1046317514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_Toc1862356162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 开发组件</w:t>
          </w:r>
          <w:r>
            <w:tab/>
          </w:r>
          <w:r>
            <w:fldChar w:fldCharType="begin"/>
          </w:r>
          <w:r>
            <w:instrText xml:space="preserve"> PAGEREF _Toc1862356162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_Toc1045859709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 微服务组件</w:t>
          </w:r>
          <w:r>
            <w:tab/>
          </w:r>
          <w:r>
            <w:fldChar w:fldCharType="begin"/>
          </w:r>
          <w:r>
            <w:instrText xml:space="preserve"> PAGEREF _Toc1045859709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_Toc610478468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2.1.2 核心组件</w:t>
          </w:r>
          <w:r>
            <w:tab/>
          </w:r>
          <w:r>
            <w:fldChar w:fldCharType="begin"/>
          </w:r>
          <w:r>
            <w:instrText xml:space="preserve"> PAGEREF _Toc610478468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_Toc1782229957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2.1.3 第三方组件</w:t>
          </w:r>
          <w:r>
            <w:tab/>
          </w:r>
          <w:r>
            <w:fldChar w:fldCharType="begin"/>
          </w:r>
          <w:r>
            <w:instrText xml:space="preserve"> PAGEREF _Toc1782229957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_Toc836978943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 关联服务</w:t>
          </w:r>
          <w:r>
            <w:tab/>
          </w:r>
          <w:r>
            <w:fldChar w:fldCharType="begin"/>
          </w:r>
          <w:r>
            <w:instrText xml:space="preserve"> PAGEREF _Toc836978943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_Toc1087207151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 接口定义</w:t>
          </w:r>
          <w:r>
            <w:tab/>
          </w:r>
          <w:r>
            <w:fldChar w:fldCharType="begin"/>
          </w:r>
          <w:r>
            <w:instrText xml:space="preserve"> PAGEREF _Toc1087207151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_Toc1899718181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2.3.1 接口类型</w:t>
          </w:r>
          <w:r>
            <w:tab/>
          </w:r>
          <w:r>
            <w:fldChar w:fldCharType="begin"/>
          </w:r>
          <w:r>
            <w:instrText xml:space="preserve"> PAGEREF _Toc1899718181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_Toc1924088118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2.3.2 接口参数</w:t>
          </w:r>
          <w:r>
            <w:tab/>
          </w:r>
          <w:r>
            <w:fldChar w:fldCharType="begin"/>
          </w:r>
          <w:r>
            <w:instrText xml:space="preserve"> PAGEREF _Toc1924088118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_Toc1340242700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2.3.3 参数校验</w:t>
          </w:r>
          <w:r>
            <w:tab/>
          </w:r>
          <w:r>
            <w:fldChar w:fldCharType="begin"/>
          </w:r>
          <w:r>
            <w:instrText xml:space="preserve"> PAGEREF _Toc1340242700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_Toc503085517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2.4 系统日志</w:t>
          </w:r>
          <w:r>
            <w:tab/>
          </w:r>
          <w:r>
            <w:fldChar w:fldCharType="begin"/>
          </w:r>
          <w:r>
            <w:instrText xml:space="preserve"> PAGEREF _Toc503085517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_Toc715165980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2.5 异常处理</w:t>
          </w:r>
          <w:r>
            <w:tab/>
          </w:r>
          <w:r>
            <w:fldChar w:fldCharType="begin"/>
          </w:r>
          <w:r>
            <w:instrText xml:space="preserve"> PAGEREF _Toc715165980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_Toc328653601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 系统设计</w:t>
          </w:r>
          <w:r>
            <w:tab/>
          </w:r>
          <w:r>
            <w:fldChar w:fldCharType="begin"/>
          </w:r>
          <w:r>
            <w:instrText xml:space="preserve"> PAGEREF _Toc328653601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_Toc353131923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 核心流程设计</w:t>
          </w:r>
          <w:r>
            <w:tab/>
          </w:r>
          <w:r>
            <w:fldChar w:fldCharType="begin"/>
          </w:r>
          <w:r>
            <w:instrText xml:space="preserve"> PAGEREF _Toc353131923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_Toc1590913200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4.1 商品询价内部审核</w:t>
          </w:r>
          <w:r>
            <w:tab/>
          </w:r>
          <w:r>
            <w:fldChar w:fldCharType="begin"/>
          </w:r>
          <w:r>
            <w:instrText xml:space="preserve"> PAGEREF _Toc1590913200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_Toc159263603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4.2 报价单内部流程审核</w:t>
          </w:r>
          <w:r>
            <w:tab/>
          </w:r>
          <w:r>
            <w:fldChar w:fldCharType="begin"/>
          </w:r>
          <w:r>
            <w:instrText xml:space="preserve"> PAGEREF _Toc159263603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_Toc978751459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 数据库设计</w:t>
          </w:r>
          <w:r>
            <w:tab/>
          </w:r>
          <w:r>
            <w:fldChar w:fldCharType="begin"/>
          </w:r>
          <w:r>
            <w:instrText xml:space="preserve"> PAGEREF _Toc978751459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_Toc151035393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5.1 说明</w:t>
          </w:r>
          <w:r>
            <w:tab/>
          </w:r>
          <w:r>
            <w:fldChar w:fldCharType="begin"/>
          </w:r>
          <w:r>
            <w:instrText xml:space="preserve"> PAGEREF _Toc151035393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_Toc126179397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5.2 表</w:t>
          </w:r>
          <w:r>
            <w:rPr>
              <w:rFonts w:hint="eastAsia"/>
              <w:lang w:val="en-US" w:eastAsia="zh-CN"/>
            </w:rPr>
            <w:t>清单</w:t>
          </w:r>
          <w:r>
            <w:tab/>
          </w:r>
          <w:r>
            <w:fldChar w:fldCharType="begin"/>
          </w:r>
          <w:r>
            <w:instrText xml:space="preserve"> PAGEREF _Toc126179397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_Toc1130765790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/>
            </w:rPr>
            <w:t xml:space="preserve">5.3 </w:t>
          </w:r>
          <w:r>
            <w:rPr>
              <w:rFonts w:hint="eastAsia"/>
              <w:lang w:val="en-US" w:eastAsia="zh-CN"/>
            </w:rPr>
            <w:t>表定义</w:t>
          </w:r>
          <w:r>
            <w:tab/>
          </w:r>
          <w:r>
            <w:fldChar w:fldCharType="begin"/>
          </w:r>
          <w:r>
            <w:instrText xml:space="preserve"> PAGEREF _Toc1130765790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_Toc1697840227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/>
            </w:rPr>
            <w:t xml:space="preserve">5.3.1 </w:t>
          </w:r>
          <w:r>
            <w:rPr>
              <w:rFonts w:hint="eastAsia"/>
              <w:lang w:val="en-US" w:eastAsia="zh-CN"/>
            </w:rPr>
            <w:t>数据初始化表</w:t>
          </w:r>
          <w:r>
            <w:tab/>
          </w:r>
          <w:r>
            <w:fldChar w:fldCharType="begin"/>
          </w:r>
          <w:r>
            <w:instrText xml:space="preserve"> PAGEREF _Toc1697840227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_Toc1985477500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 服务部署</w:t>
          </w:r>
          <w:r>
            <w:tab/>
          </w:r>
          <w:r>
            <w:fldChar w:fldCharType="begin"/>
          </w:r>
          <w:r>
            <w:instrText xml:space="preserve"> PAGEREF _Toc1985477500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_Toc171951767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6.1 数据初始化</w:t>
          </w:r>
          <w:r>
            <w:tab/>
          </w:r>
          <w:r>
            <w:fldChar w:fldCharType="begin"/>
          </w:r>
          <w:r>
            <w:instrText xml:space="preserve"> PAGEREF _Toc171951767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_Toc1627842754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6.2 服务启动依赖</w:t>
          </w:r>
          <w:r>
            <w:tab/>
          </w:r>
          <w:r>
            <w:fldChar w:fldCharType="begin"/>
          </w:r>
          <w:r>
            <w:instrText xml:space="preserve"> PAGEREF _Toc1627842754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_Toc211503698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7 附录</w:t>
          </w:r>
          <w:r>
            <w:tab/>
          </w:r>
          <w:r>
            <w:fldChar w:fldCharType="begin"/>
          </w:r>
          <w:r>
            <w:instrText xml:space="preserve"> PAGEREF _Toc211503698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_Toc657216501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7.1 接口返回码</w:t>
          </w:r>
          <w:r>
            <w:tab/>
          </w:r>
          <w:r>
            <w:fldChar w:fldCharType="begin"/>
          </w:r>
          <w:r>
            <w:instrText xml:space="preserve"> PAGEREF _Toc657216501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/>
    <w:p>
      <w:pPr>
        <w:sectPr>
          <w:headerReference r:id="rId9" w:type="default"/>
          <w:footerReference r:id="rId10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pStyle w:val="2"/>
      </w:pPr>
      <w:bookmarkStart w:id="0" w:name="_Toc1062481540"/>
      <w:r>
        <w:rPr>
          <w:rFonts w:hint="eastAsia"/>
        </w:rPr>
        <w:t>概述</w:t>
      </w:r>
      <w:bookmarkEnd w:id="0"/>
    </w:p>
    <w:p>
      <w:pPr>
        <w:pStyle w:val="3"/>
      </w:pPr>
      <w:bookmarkStart w:id="1" w:name="_Toc800717975"/>
      <w:r>
        <w:rPr>
          <w:rFonts w:hint="eastAsia"/>
        </w:rPr>
        <w:t>功能说明</w:t>
      </w:r>
      <w:bookmarkEnd w:id="1"/>
    </w:p>
    <w:p>
      <w:r>
        <w:rPr>
          <w:rFonts w:hint="eastAsia"/>
          <w:lang w:val="en-US" w:eastAsia="zh-Hans"/>
        </w:rPr>
        <w:t>交易</w:t>
      </w:r>
      <w:r>
        <w:rPr>
          <w:rFonts w:hint="eastAsia"/>
        </w:rPr>
        <w:t>服务（服务模块名称：</w:t>
      </w:r>
      <w:r>
        <w:rPr>
          <w:rFonts w:hint="default"/>
        </w:rPr>
        <w:t>t</w:t>
      </w:r>
      <w:r>
        <w:rPr>
          <w:rFonts w:hint="eastAsia"/>
          <w:lang w:val="en-US" w:eastAsia="zh-Hans"/>
        </w:rPr>
        <w:t>rade</w:t>
      </w:r>
      <w:r>
        <w:t>-service</w:t>
      </w:r>
      <w:r>
        <w:rPr>
          <w:rFonts w:hint="eastAsia"/>
        </w:rPr>
        <w:t>）的主要功能有：</w:t>
      </w:r>
    </w:p>
    <w:p>
      <w:pPr>
        <w:numPr>
          <w:ilvl w:val="0"/>
          <w:numId w:val="2"/>
        </w:numPr>
        <w:ind w:left="420" w:leftChars="0" w:hanging="420" w:firstLineChars="0"/>
      </w:pPr>
      <w:r>
        <w:rPr>
          <w:rFonts w:hint="eastAsia"/>
          <w:lang w:val="en-US" w:eastAsia="zh-Hans"/>
        </w:rPr>
        <w:t>商品询价管理</w:t>
      </w:r>
      <w:r>
        <w:t>：</w:t>
      </w:r>
      <w:r>
        <w:rPr>
          <w:rFonts w:hint="eastAsia"/>
        </w:rPr>
        <w:t>商品询价</w:t>
      </w:r>
      <w:r>
        <w:rPr>
          <w:rFonts w:hint="eastAsia"/>
          <w:lang w:eastAsia="zh-Hans"/>
        </w:rPr>
        <w:t>、</w:t>
      </w:r>
      <w:r>
        <w:rPr>
          <w:rFonts w:hint="eastAsia"/>
        </w:rPr>
        <w:t>询价单查询</w:t>
      </w:r>
      <w:r>
        <w:rPr>
          <w:rFonts w:hint="eastAsia"/>
          <w:lang w:eastAsia="zh-Hans"/>
        </w:rPr>
        <w:t>、</w:t>
      </w:r>
      <w:r>
        <w:rPr>
          <w:rFonts w:hint="eastAsia"/>
        </w:rPr>
        <w:t>待新增询价单</w:t>
      </w:r>
      <w:r>
        <w:rPr>
          <w:rFonts w:hint="eastAsia"/>
          <w:lang w:eastAsia="zh-Hans"/>
        </w:rPr>
        <w:t>、</w:t>
      </w:r>
      <w:r>
        <w:rPr>
          <w:rFonts w:hint="eastAsia"/>
        </w:rPr>
        <w:t>待审核询价单</w:t>
      </w:r>
      <w:r>
        <w:rPr>
          <w:rFonts w:hint="eastAsia"/>
          <w:lang w:eastAsia="zh-Hans"/>
        </w:rPr>
        <w:t>、</w:t>
      </w:r>
      <w:r>
        <w:rPr>
          <w:rFonts w:hint="eastAsia"/>
        </w:rPr>
        <w:t>待提交询价单</w:t>
      </w:r>
      <w:r>
        <w:t>等。</w:t>
      </w:r>
    </w:p>
    <w:p>
      <w:pPr>
        <w:numPr>
          <w:ilvl w:val="0"/>
          <w:numId w:val="2"/>
        </w:numPr>
        <w:ind w:left="420" w:leftChars="0" w:hanging="420" w:firstLineChars="0"/>
      </w:pPr>
      <w:r>
        <w:rPr>
          <w:rFonts w:hint="eastAsia"/>
        </w:rPr>
        <w:t>询价报价</w:t>
      </w:r>
      <w:r>
        <w:rPr>
          <w:rFonts w:hint="eastAsia"/>
          <w:lang w:val="en-US" w:eastAsia="zh-Hans"/>
        </w:rPr>
        <w:t>管理：</w:t>
      </w:r>
      <w:r>
        <w:rPr>
          <w:rFonts w:hint="eastAsia"/>
        </w:rPr>
        <w:t>询价单查询</w:t>
      </w:r>
      <w:r>
        <w:rPr>
          <w:rFonts w:hint="eastAsia"/>
          <w:lang w:eastAsia="zh-Hans"/>
        </w:rPr>
        <w:t>、</w:t>
      </w:r>
      <w:r>
        <w:rPr>
          <w:rFonts w:hint="eastAsia"/>
        </w:rPr>
        <w:t>报价单查询</w:t>
      </w:r>
      <w:r>
        <w:rPr>
          <w:rFonts w:hint="eastAsia"/>
          <w:lang w:eastAsia="zh-Hans"/>
        </w:rPr>
        <w:t>、</w:t>
      </w:r>
      <w:r>
        <w:rPr>
          <w:rFonts w:hint="eastAsia"/>
        </w:rPr>
        <w:t>待新增报价单</w:t>
      </w:r>
      <w:r>
        <w:rPr>
          <w:rFonts w:hint="eastAsia"/>
          <w:lang w:eastAsia="zh-Hans"/>
        </w:rPr>
        <w:t>、</w:t>
      </w:r>
      <w:r>
        <w:rPr>
          <w:rFonts w:hint="eastAsia"/>
        </w:rPr>
        <w:t>待分配询价单</w:t>
      </w:r>
      <w:r>
        <w:rPr>
          <w:rFonts w:hint="eastAsia"/>
          <w:lang w:eastAsia="zh-Hans"/>
        </w:rPr>
        <w:t>、</w:t>
      </w:r>
      <w:r>
        <w:rPr>
          <w:rFonts w:hint="eastAsia"/>
        </w:rPr>
        <w:t>待审核报价单</w:t>
      </w:r>
      <w:r>
        <w:rPr>
          <w:rFonts w:hint="eastAsia"/>
          <w:lang w:eastAsia="zh-Hans"/>
        </w:rPr>
        <w:t>、</w:t>
      </w:r>
      <w:r>
        <w:rPr>
          <w:rFonts w:hint="eastAsia"/>
        </w:rPr>
        <w:t>待提交报价单</w:t>
      </w:r>
      <w:r>
        <w:rPr>
          <w:rFonts w:hint="eastAsia"/>
          <w:lang w:val="en-US" w:eastAsia="zh-Hans"/>
        </w:rPr>
        <w:t>等。</w:t>
      </w:r>
    </w:p>
    <w:p>
      <w:pPr>
        <w:numPr>
          <w:ilvl w:val="0"/>
          <w:numId w:val="2"/>
        </w:numPr>
        <w:ind w:left="420" w:leftChars="0" w:hanging="420" w:firstLineChars="0"/>
      </w:pPr>
      <w:r>
        <w:rPr>
          <w:rFonts w:hint="eastAsia"/>
        </w:rPr>
        <w:t>确认询价报价</w:t>
      </w:r>
      <w:r>
        <w:rPr>
          <w:rFonts w:hint="eastAsia"/>
          <w:lang w:val="en-US" w:eastAsia="zh-Hans"/>
        </w:rPr>
        <w:t>管理：</w:t>
      </w:r>
      <w:r>
        <w:rPr>
          <w:rFonts w:hint="eastAsia"/>
        </w:rPr>
        <w:t>报价单查询</w:t>
      </w:r>
      <w:r>
        <w:rPr>
          <w:rFonts w:hint="eastAsia"/>
          <w:lang w:eastAsia="zh-Hans"/>
        </w:rPr>
        <w:t>、</w:t>
      </w:r>
      <w:r>
        <w:rPr>
          <w:rFonts w:hint="eastAsia"/>
        </w:rPr>
        <w:t>待审核询价单</w:t>
      </w:r>
      <w:r>
        <w:rPr>
          <w:rFonts w:hint="eastAsia"/>
          <w:lang w:eastAsia="zh-Hans"/>
        </w:rPr>
        <w:t>、</w:t>
      </w:r>
      <w:r>
        <w:rPr>
          <w:rFonts w:hint="eastAsia"/>
        </w:rPr>
        <w:t>待提交审核报价单</w:t>
      </w:r>
      <w:r>
        <w:rPr>
          <w:rFonts w:hint="eastAsia"/>
          <w:lang w:eastAsia="zh-Hans"/>
        </w:rPr>
        <w:t>、</w:t>
      </w:r>
      <w:r>
        <w:rPr>
          <w:rFonts w:hint="eastAsia"/>
        </w:rPr>
        <w:t>待提交报价单</w:t>
      </w:r>
      <w:r>
        <w:rPr>
          <w:rFonts w:hint="eastAsia"/>
          <w:lang w:val="en-US" w:eastAsia="zh-Hans"/>
        </w:rPr>
        <w:t>等。</w:t>
      </w:r>
    </w:p>
    <w:p>
      <w:pPr>
        <w:numPr>
          <w:ilvl w:val="0"/>
          <w:numId w:val="2"/>
        </w:numPr>
        <w:ind w:left="420" w:leftChars="0" w:hanging="420" w:firstLineChars="0"/>
      </w:pPr>
      <w:r>
        <w:rPr>
          <w:rFonts w:hint="eastAsia"/>
        </w:rPr>
        <w:t>求购需求单管理</w:t>
      </w:r>
    </w:p>
    <w:p>
      <w:pPr>
        <w:numPr>
          <w:ilvl w:val="0"/>
          <w:numId w:val="2"/>
        </w:numPr>
        <w:ind w:left="420" w:leftChars="0" w:hanging="420" w:firstLineChars="0"/>
      </w:pPr>
      <w:r>
        <w:rPr>
          <w:rFonts w:hint="eastAsia"/>
        </w:rPr>
        <w:t>求购报价</w:t>
      </w:r>
      <w:r>
        <w:rPr>
          <w:rFonts w:hint="eastAsia"/>
          <w:lang w:val="en-US" w:eastAsia="zh-Hans"/>
        </w:rPr>
        <w:t>管理：</w:t>
      </w:r>
      <w:r>
        <w:rPr>
          <w:rFonts w:hint="eastAsia"/>
        </w:rPr>
        <w:t>求购需求单查询</w:t>
      </w:r>
      <w:r>
        <w:rPr>
          <w:rFonts w:hint="eastAsia"/>
          <w:lang w:eastAsia="zh-Hans"/>
        </w:rPr>
        <w:t>、</w:t>
      </w:r>
      <w:r>
        <w:rPr>
          <w:rFonts w:hint="eastAsia"/>
        </w:rPr>
        <w:t>待新增报价单</w:t>
      </w:r>
      <w:r>
        <w:rPr>
          <w:rFonts w:hint="eastAsia"/>
          <w:lang w:eastAsia="zh-Hans"/>
        </w:rPr>
        <w:t>、</w:t>
      </w:r>
      <w:r>
        <w:rPr>
          <w:rFonts w:hint="eastAsia"/>
        </w:rPr>
        <w:t>待审核报价单</w:t>
      </w:r>
      <w:r>
        <w:rPr>
          <w:rFonts w:hint="eastAsia"/>
          <w:lang w:eastAsia="zh-Hans"/>
        </w:rPr>
        <w:t>、</w:t>
      </w:r>
      <w:r>
        <w:rPr>
          <w:rFonts w:hint="eastAsia"/>
        </w:rPr>
        <w:t>待提交报价单</w:t>
      </w:r>
      <w:r>
        <w:rPr>
          <w:rFonts w:hint="eastAsia"/>
          <w:lang w:val="en-US" w:eastAsia="zh-Hans"/>
        </w:rPr>
        <w:t>等。</w:t>
      </w:r>
    </w:p>
    <w:p>
      <w:pPr>
        <w:pStyle w:val="3"/>
      </w:pPr>
      <w:bookmarkStart w:id="2" w:name="_Toc1534473723"/>
      <w:r>
        <w:rPr>
          <w:rFonts w:hint="eastAsia"/>
        </w:rPr>
        <w:t>参考文档</w:t>
      </w:r>
      <w:bookmarkEnd w:id="2"/>
    </w:p>
    <w:p>
      <w:r>
        <w:rPr>
          <w:rFonts w:hint="eastAsia"/>
        </w:rPr>
        <w:t>《瓴犀系统技术白皮书》</w:t>
      </w:r>
    </w:p>
    <w:p>
      <w:r>
        <w:rPr>
          <w:rFonts w:hint="eastAsia"/>
        </w:rPr>
        <w:t>《瓴犀系统接口文档-</w:t>
      </w:r>
      <w:r>
        <w:rPr>
          <w:rFonts w:hint="eastAsia"/>
          <w:lang w:eastAsia="zh-CN"/>
        </w:rPr>
        <w:t>交易服务</w:t>
      </w:r>
      <w:r>
        <w:rPr>
          <w:rFonts w:hint="eastAsia"/>
        </w:rPr>
        <w:t>》</w:t>
      </w:r>
    </w:p>
    <w:p/>
    <w:p>
      <w:pPr>
        <w:pStyle w:val="3"/>
      </w:pPr>
      <w:bookmarkStart w:id="3" w:name="_Toc768745638"/>
      <w:r>
        <w:rPr>
          <w:rFonts w:hint="eastAsia"/>
        </w:rPr>
        <w:t>文档说明</w:t>
      </w:r>
      <w:bookmarkEnd w:id="3"/>
    </w:p>
    <w:p/>
    <w:p>
      <w:pPr>
        <w:pStyle w:val="2"/>
      </w:pPr>
      <w:bookmarkStart w:id="4" w:name="_Toc1046317514"/>
      <w:r>
        <w:rPr>
          <w:rFonts w:hint="eastAsia"/>
        </w:rPr>
        <w:t>技术架构</w:t>
      </w:r>
      <w:bookmarkEnd w:id="4"/>
    </w:p>
    <w:p>
      <w:pPr>
        <w:pStyle w:val="3"/>
      </w:pPr>
      <w:bookmarkStart w:id="5" w:name="_Toc1862356162"/>
      <w:r>
        <w:rPr>
          <w:rFonts w:hint="eastAsia"/>
        </w:rPr>
        <w:t>开发组件</w:t>
      </w:r>
      <w:bookmarkEnd w:id="5"/>
    </w:p>
    <w:p>
      <w:pPr>
        <w:ind w:firstLine="480" w:firstLineChars="200"/>
      </w:pPr>
      <w:r>
        <w:rPr>
          <w:rFonts w:hint="eastAsia"/>
        </w:rPr>
        <w:t>本服务使用S</w:t>
      </w:r>
      <w:r>
        <w:t>pring Boot 2.</w:t>
      </w:r>
      <w:r>
        <w:rPr>
          <w:rFonts w:hint="default"/>
        </w:rPr>
        <w:t>4.4</w:t>
      </w:r>
      <w:r>
        <w:rPr>
          <w:rFonts w:hint="eastAsia"/>
        </w:rPr>
        <w:t>作为开发框架，使用的主要核心组件如下：</w:t>
      </w:r>
    </w:p>
    <w:p>
      <w:pPr>
        <w:pStyle w:val="4"/>
      </w:pPr>
      <w:bookmarkStart w:id="6" w:name="_Toc1045859709"/>
      <w:r>
        <w:rPr>
          <w:rFonts w:hint="eastAsia"/>
        </w:rPr>
        <w:t>微服务组件</w:t>
      </w:r>
      <w:bookmarkEnd w:id="6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rFonts w:hint="default" w:eastAsia="宋体"/>
                <w:sz w:val="21"/>
                <w:szCs w:val="20"/>
                <w:lang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Spring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Cloud Version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2020.0.2</w:t>
            </w:r>
          </w:p>
        </w:tc>
        <w:tc>
          <w:tcPr>
            <w:tcW w:w="3481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主框架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Hans" w:bidi="ar-SA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Cloud OpenFeign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3.0.2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提供微服务集群内部H</w:t>
            </w:r>
            <w:r>
              <w:rPr>
                <w:sz w:val="21"/>
                <w:szCs w:val="20"/>
              </w:rPr>
              <w:t>ttp</w:t>
            </w:r>
            <w:r>
              <w:rPr>
                <w:rFonts w:hint="eastAsia"/>
                <w:sz w:val="21"/>
                <w:szCs w:val="20"/>
              </w:rPr>
              <w:t>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Spring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Cloud loadbalancer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3.0.2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负载均衡器</w:t>
            </w:r>
          </w:p>
        </w:tc>
      </w:tr>
    </w:tbl>
    <w:p/>
    <w:p>
      <w:pPr>
        <w:pStyle w:val="4"/>
      </w:pPr>
      <w:bookmarkStart w:id="7" w:name="_Toc610478468"/>
      <w:r>
        <w:rPr>
          <w:rFonts w:hint="eastAsia"/>
        </w:rPr>
        <w:t>核心组件</w:t>
      </w:r>
      <w:bookmarkEnd w:id="7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Nacos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Config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配置中心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Nacos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Discovery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注册中心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Sentinel 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流量控制、流量路由、熔断降级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Web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2.4.4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提供H</w:t>
            </w:r>
            <w:r>
              <w:rPr>
                <w:sz w:val="21"/>
                <w:szCs w:val="20"/>
              </w:rPr>
              <w:t>ttp</w:t>
            </w:r>
            <w:r>
              <w:rPr>
                <w:rFonts w:hint="eastAsia"/>
                <w:sz w:val="21"/>
                <w:szCs w:val="20"/>
              </w:rPr>
              <w:t>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Data JPA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2.4.4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RM</w:t>
            </w:r>
            <w:r>
              <w:rPr>
                <w:rFonts w:hint="eastAsia"/>
                <w:sz w:val="21"/>
                <w:szCs w:val="20"/>
              </w:rPr>
              <w:t>框架、H</w:t>
            </w:r>
            <w:r>
              <w:rPr>
                <w:sz w:val="21"/>
                <w:szCs w:val="20"/>
              </w:rPr>
              <w:t>akari</w:t>
            </w:r>
            <w:r>
              <w:rPr>
                <w:rFonts w:hint="eastAsia"/>
                <w:sz w:val="21"/>
                <w:szCs w:val="20"/>
              </w:rPr>
              <w:t>连接池管理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</w:t>
            </w:r>
            <w:r>
              <w:rPr>
                <w:sz w:val="21"/>
                <w:szCs w:val="20"/>
              </w:rPr>
              <w:t>ostgreSQL Driver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4</w:t>
            </w:r>
            <w:r>
              <w:rPr>
                <w:sz w:val="21"/>
                <w:szCs w:val="20"/>
              </w:rPr>
              <w:t>2.2.1</w:t>
            </w:r>
            <w:r>
              <w:rPr>
                <w:rFonts w:hint="default"/>
                <w:sz w:val="21"/>
                <w:szCs w:val="20"/>
              </w:rPr>
              <w:t>9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</w:t>
            </w:r>
            <w:r>
              <w:rPr>
                <w:sz w:val="21"/>
                <w:szCs w:val="20"/>
              </w:rPr>
              <w:t>ostgreSQL JDBC</w:t>
            </w:r>
            <w:r>
              <w:rPr>
                <w:rFonts w:hint="eastAsia"/>
                <w:sz w:val="21"/>
                <w:szCs w:val="20"/>
              </w:rPr>
              <w:t>客户端</w:t>
            </w:r>
          </w:p>
        </w:tc>
      </w:tr>
    </w:tbl>
    <w:p/>
    <w:p>
      <w:pPr>
        <w:pStyle w:val="4"/>
      </w:pPr>
      <w:bookmarkStart w:id="8" w:name="_Toc1782229957"/>
      <w:r>
        <w:rPr>
          <w:rFonts w:hint="eastAsia"/>
        </w:rPr>
        <w:t>第三方组件</w:t>
      </w:r>
      <w:bookmarkEnd w:id="8"/>
    </w:p>
    <w:p/>
    <w:p>
      <w:pPr>
        <w:pStyle w:val="3"/>
      </w:pPr>
      <w:bookmarkStart w:id="9" w:name="_Toc836978943"/>
      <w:r>
        <w:rPr>
          <w:rFonts w:hint="eastAsia"/>
        </w:rPr>
        <w:t>关联服务</w:t>
      </w:r>
      <w:bookmarkEnd w:id="9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1418"/>
        <w:gridCol w:w="39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服务名称</w:t>
            </w:r>
          </w:p>
        </w:tc>
        <w:tc>
          <w:tcPr>
            <w:tcW w:w="141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关联方式</w:t>
            </w:r>
          </w:p>
        </w:tc>
        <w:tc>
          <w:tcPr>
            <w:tcW w:w="3906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工作流服务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（w</w:t>
            </w:r>
            <w:r>
              <w:rPr>
                <w:sz w:val="21"/>
                <w:szCs w:val="20"/>
              </w:rPr>
              <w:t>orkflow-service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订单服务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（o</w:t>
            </w:r>
            <w:r>
              <w:rPr>
                <w:sz w:val="21"/>
                <w:szCs w:val="20"/>
              </w:rPr>
              <w:t>rder-service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</w:p>
        </w:tc>
      </w:tr>
      <w:tr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支撑</w:t>
            </w:r>
            <w:r>
              <w:rPr>
                <w:rFonts w:hint="eastAsia"/>
                <w:sz w:val="21"/>
                <w:szCs w:val="20"/>
              </w:rPr>
              <w:t>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</w:t>
            </w:r>
            <w:r>
              <w:rPr>
                <w:sz w:val="21"/>
                <w:szCs w:val="20"/>
              </w:rPr>
              <w:t>s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upport</w:t>
            </w:r>
            <w:r>
              <w:rPr>
                <w:sz w:val="21"/>
                <w:szCs w:val="20"/>
              </w:rPr>
              <w:t>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支付服务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</w:t>
            </w:r>
            <w:r>
              <w:rPr>
                <w:sz w:val="21"/>
                <w:szCs w:val="20"/>
              </w:rPr>
              <w:t>pay-service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pStyle w:val="37"/>
              <w:numPr>
                <w:ilvl w:val="0"/>
                <w:numId w:val="0"/>
              </w:numPr>
              <w:ind w:leftChars="0"/>
              <w:rPr>
                <w:sz w:val="21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管理服务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</w:t>
            </w:r>
            <w:r>
              <w:rPr>
                <w:sz w:val="21"/>
                <w:szCs w:val="20"/>
              </w:rPr>
              <w:t>manage-service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报表服务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（r</w:t>
            </w:r>
            <w:r>
              <w:rPr>
                <w:sz w:val="21"/>
                <w:szCs w:val="20"/>
              </w:rPr>
              <w:t>eport-service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商品搜索服务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</w:t>
            </w:r>
            <w:r>
              <w:rPr>
                <w:rFonts w:hint="default"/>
                <w:sz w:val="21"/>
                <w:szCs w:val="20"/>
              </w:rPr>
              <w:t>product</w:t>
            </w:r>
            <w:r>
              <w:rPr>
                <w:sz w:val="21"/>
                <w:szCs w:val="20"/>
              </w:rPr>
              <w:t>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</w:p>
        </w:tc>
      </w:tr>
    </w:tbl>
    <w:p/>
    <w:p>
      <w:pPr>
        <w:pStyle w:val="3"/>
      </w:pPr>
      <w:bookmarkStart w:id="10" w:name="_Toc1087207151"/>
      <w:r>
        <w:rPr>
          <w:rFonts w:hint="eastAsia"/>
        </w:rPr>
        <w:t>接口定义</w:t>
      </w:r>
      <w:bookmarkEnd w:id="10"/>
    </w:p>
    <w:p>
      <w:pPr>
        <w:ind w:firstLine="480" w:firstLineChars="200"/>
      </w:pPr>
      <w:r>
        <w:rPr>
          <w:rFonts w:hint="eastAsia"/>
        </w:rPr>
        <w:t>接口详细定义及参数字段说明请参考《瓴犀系统接口文档-</w:t>
      </w:r>
      <w:r>
        <w:rPr>
          <w:rFonts w:hint="eastAsia"/>
          <w:lang w:eastAsia="zh-CN"/>
        </w:rPr>
        <w:t>交易服务</w:t>
      </w:r>
      <w:r>
        <w:rPr>
          <w:rFonts w:hint="eastAsia"/>
        </w:rPr>
        <w:t>》</w:t>
      </w:r>
    </w:p>
    <w:p>
      <w:pPr>
        <w:pStyle w:val="4"/>
      </w:pPr>
      <w:bookmarkStart w:id="11" w:name="_Toc1899718181"/>
      <w:r>
        <w:rPr>
          <w:rFonts w:hint="eastAsia"/>
        </w:rPr>
        <w:t>接口类型</w:t>
      </w:r>
      <w:bookmarkEnd w:id="11"/>
    </w:p>
    <w:p>
      <w:pPr>
        <w:pStyle w:val="37"/>
        <w:numPr>
          <w:ilvl w:val="0"/>
          <w:numId w:val="3"/>
        </w:numPr>
        <w:ind w:firstLineChars="0"/>
      </w:pPr>
      <w:r>
        <w:rPr>
          <w:rFonts w:hint="eastAsia"/>
        </w:rPr>
        <w:t>对W</w:t>
      </w:r>
      <w:r>
        <w:t>eb</w:t>
      </w:r>
      <w:r>
        <w:rPr>
          <w:rFonts w:hint="eastAsia"/>
        </w:rPr>
        <w:t>、移动客户端统一提供H</w:t>
      </w:r>
      <w:r>
        <w:t>ttp</w:t>
      </w:r>
      <w:r>
        <w:rPr>
          <w:rFonts w:hint="eastAsia"/>
        </w:rPr>
        <w:t>接口</w:t>
      </w:r>
    </w:p>
    <w:p>
      <w:pPr>
        <w:pStyle w:val="37"/>
        <w:numPr>
          <w:ilvl w:val="0"/>
          <w:numId w:val="3"/>
        </w:numPr>
        <w:ind w:firstLineChars="0"/>
      </w:pPr>
      <w:r>
        <w:rPr>
          <w:rFonts w:hint="eastAsia"/>
        </w:rPr>
        <w:t>查询类接口为H</w:t>
      </w:r>
      <w:r>
        <w:t>ttp GET</w:t>
      </w:r>
      <w:r>
        <w:rPr>
          <w:rFonts w:hint="eastAsia"/>
        </w:rPr>
        <w:t>接口</w:t>
      </w:r>
    </w:p>
    <w:p>
      <w:pPr>
        <w:pStyle w:val="37"/>
        <w:numPr>
          <w:ilvl w:val="0"/>
          <w:numId w:val="3"/>
        </w:numPr>
        <w:ind w:firstLineChars="0"/>
      </w:pPr>
      <w:r>
        <w:rPr>
          <w:rFonts w:hint="eastAsia"/>
        </w:rPr>
        <w:t>操作类接口为H</w:t>
      </w:r>
      <w:r>
        <w:t>ttp POST</w:t>
      </w:r>
      <w:r>
        <w:rPr>
          <w:rFonts w:hint="eastAsia"/>
        </w:rPr>
        <w:t>接口</w:t>
      </w:r>
    </w:p>
    <w:p>
      <w:pPr>
        <w:pStyle w:val="4"/>
      </w:pPr>
      <w:bookmarkStart w:id="12" w:name="_Toc1924088118"/>
      <w:r>
        <w:rPr>
          <w:rFonts w:hint="eastAsia"/>
        </w:rPr>
        <w:t>接口参数</w:t>
      </w:r>
      <w:bookmarkEnd w:id="12"/>
    </w:p>
    <w:p>
      <w:pPr>
        <w:ind w:firstLine="480" w:firstLineChars="200"/>
      </w:pPr>
      <w:r>
        <w:rPr>
          <w:rFonts w:hint="eastAsia"/>
        </w:rPr>
        <w:t>所有接口均定义</w:t>
      </w:r>
      <w:r>
        <w:rPr>
          <w:rFonts w:hint="eastAsia"/>
          <w:lang w:val="en-US" w:eastAsia="zh-CN"/>
        </w:rPr>
        <w:t>Req</w:t>
      </w:r>
      <w:r>
        <w:rPr>
          <w:rFonts w:hint="eastAsia"/>
        </w:rPr>
        <w:t>对象接收上传参数，定义在com.ssy.lingxi.purchase.model.req</w:t>
      </w:r>
      <w:r>
        <w:t>.*</w:t>
      </w:r>
    </w:p>
    <w:p>
      <w:pPr>
        <w:pStyle w:val="4"/>
      </w:pPr>
      <w:bookmarkStart w:id="13" w:name="_Toc1340242700"/>
      <w:r>
        <w:rPr>
          <w:rFonts w:hint="eastAsia"/>
        </w:rPr>
        <w:t>参数校验</w:t>
      </w:r>
      <w:bookmarkEnd w:id="13"/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使用j</w:t>
      </w:r>
      <w:r>
        <w:t xml:space="preserve">avax.validation.constraints.* </w:t>
      </w:r>
      <w:r>
        <w:rPr>
          <w:rFonts w:hint="eastAsia"/>
        </w:rPr>
        <w:t>的注解对接口参数进行校验</w:t>
      </w:r>
    </w:p>
    <w:p>
      <w:pPr>
        <w:pStyle w:val="3"/>
      </w:pPr>
      <w:bookmarkStart w:id="14" w:name="_Toc503085517"/>
      <w:r>
        <w:rPr>
          <w:rFonts w:hint="eastAsia"/>
        </w:rPr>
        <w:t>系统日志</w:t>
      </w:r>
      <w:bookmarkEnd w:id="14"/>
    </w:p>
    <w:p>
      <w:pPr>
        <w:ind w:firstLine="480" w:firstLineChars="200"/>
      </w:pPr>
      <w:r>
        <w:rPr>
          <w:rFonts w:hint="eastAsia"/>
        </w:rPr>
        <w:t>使用L</w:t>
      </w:r>
      <w:r>
        <w:t>ogback</w:t>
      </w:r>
      <w:r>
        <w:rPr>
          <w:rFonts w:hint="eastAsia"/>
        </w:rPr>
        <w:t>记录系统日志，日志文件名称为</w:t>
      </w:r>
      <w:r>
        <w:rPr>
          <w:rFonts w:hint="eastAsia"/>
          <w:lang w:val="en-US" w:eastAsia="zh-CN"/>
        </w:rPr>
        <w:t>purchase</w:t>
      </w:r>
      <w:r>
        <w:t>-service.*.log</w:t>
      </w:r>
    </w:p>
    <w:p>
      <w:pPr>
        <w:ind w:firstLine="480" w:firstLineChars="200"/>
      </w:pPr>
      <w:r>
        <w:rPr>
          <w:rFonts w:hint="eastAsia"/>
        </w:rPr>
        <w:t>日志文件配置l</w:t>
      </w:r>
      <w:r>
        <w:t>ogback.xml</w:t>
      </w:r>
      <w:r>
        <w:rPr>
          <w:rFonts w:hint="eastAsia"/>
        </w:rPr>
        <w:t>、日志采集分析方式请参考《瓴犀系统技术白皮书》</w:t>
      </w:r>
    </w:p>
    <w:p/>
    <w:p>
      <w:pPr>
        <w:pStyle w:val="3"/>
      </w:pPr>
      <w:bookmarkStart w:id="15" w:name="_Toc715165980"/>
      <w:r>
        <w:rPr>
          <w:rFonts w:hint="eastAsia"/>
        </w:rPr>
        <w:t>异常处理</w:t>
      </w:r>
      <w:bookmarkEnd w:id="15"/>
    </w:p>
    <w:p>
      <w:pPr>
        <w:ind w:firstLine="480" w:firstLineChars="200"/>
      </w:pPr>
      <w:r>
        <w:rPr>
          <w:rFonts w:hint="eastAsia"/>
        </w:rPr>
        <w:t>使用S</w:t>
      </w:r>
      <w:r>
        <w:t>pring</w:t>
      </w:r>
      <w:r>
        <w:rPr>
          <w:rFonts w:hint="eastAsia"/>
        </w:rPr>
        <w:t>注解@</w:t>
      </w:r>
      <w:r>
        <w:t>RestControllerAdvise</w:t>
      </w:r>
      <w:r>
        <w:rPr>
          <w:rFonts w:hint="eastAsia"/>
        </w:rPr>
        <w:t>统一全局异常拦截类，代码P</w:t>
      </w:r>
      <w:r>
        <w:t>ackage Name</w:t>
      </w:r>
      <w:r>
        <w:rPr>
          <w:rFonts w:hint="eastAsia"/>
        </w:rPr>
        <w:t>：com.ssy.lingxi.component.base.handler.exception</w:t>
      </w:r>
      <w:r>
        <w:t>.*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1"/>
        <w:gridCol w:w="4148"/>
      </w:tblGrid>
      <w:tr>
        <w:tc>
          <w:tcPr>
            <w:tcW w:w="422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拦截的异常类</w:t>
            </w:r>
          </w:p>
        </w:tc>
        <w:tc>
          <w:tcPr>
            <w:tcW w:w="414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BusinessExceptionHandler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系统自定义异常类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FileUploadExceptionHandler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上传文件超限制异常类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GlobalExceptionHandler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全局异常类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ParamCheckExceptionHandler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接口参数校验错误拦截</w:t>
            </w:r>
          </w:p>
        </w:tc>
      </w:tr>
    </w:tbl>
    <w:p/>
    <w:p>
      <w:pPr>
        <w:pStyle w:val="2"/>
      </w:pPr>
      <w:bookmarkStart w:id="16" w:name="_Toc328653601"/>
      <w:r>
        <w:rPr>
          <w:rFonts w:hint="eastAsia"/>
        </w:rPr>
        <w:t>系统设计</w:t>
      </w:r>
      <w:bookmarkEnd w:id="16"/>
    </w:p>
    <w:p/>
    <w:p>
      <w:pPr>
        <w:pStyle w:val="2"/>
      </w:pPr>
      <w:bookmarkStart w:id="17" w:name="_Toc353131923"/>
      <w:r>
        <w:rPr>
          <w:rFonts w:hint="eastAsia"/>
        </w:rPr>
        <w:t>核心流程设计</w:t>
      </w:r>
      <w:bookmarkEnd w:id="17"/>
    </w:p>
    <w:p>
      <w:pPr>
        <w:pStyle w:val="3"/>
        <w:rPr>
          <w:sz w:val="28"/>
          <w:szCs w:val="28"/>
        </w:rPr>
      </w:pPr>
      <w:bookmarkStart w:id="18" w:name="_Toc1590913200"/>
      <w:r>
        <w:rPr>
          <w:rFonts w:hint="eastAsia"/>
          <w:sz w:val="28"/>
          <w:szCs w:val="28"/>
        </w:rPr>
        <w:t>商品询价内部审核</w:t>
      </w:r>
      <w:bookmarkEnd w:id="18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>
        <w:trPr>
          <w:trHeight w:val="2749" w:hRule="atLeast"/>
        </w:trPr>
        <w:tc>
          <w:tcPr>
            <w:tcW w:w="1696" w:type="dxa"/>
            <w:shd w:val="clear" w:color="auto" w:fill="B4C6E7" w:themeFill="accent1" w:themeFillTint="66"/>
          </w:tcPr>
          <w:p>
            <w:pPr>
              <w:rPr>
                <w:b/>
                <w:bCs/>
                <w:sz w:val="20"/>
                <w:szCs w:val="18"/>
              </w:rPr>
            </w:pPr>
            <w:r>
              <w:rPr>
                <w:rFonts w:hint="eastAsia"/>
                <w:b/>
                <w:bCs/>
                <w:sz w:val="20"/>
                <w:szCs w:val="18"/>
              </w:rPr>
              <w:t>接口U</w:t>
            </w:r>
            <w:r>
              <w:rPr>
                <w:b/>
                <w:bCs/>
                <w:sz w:val="20"/>
                <w:szCs w:val="18"/>
              </w:rPr>
              <w:t>rl</w:t>
            </w:r>
          </w:p>
        </w:tc>
        <w:tc>
          <w:tcPr>
            <w:tcW w:w="660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hint="eastAsia" w:ascii="JetBrains Mono" w:hAnsi="JetBrains Mono" w:cs="宋体"/>
                <w:color w:val="000000"/>
                <w:kern w:val="0"/>
                <w:szCs w:val="24"/>
              </w:rPr>
            </w:pPr>
            <w:r>
              <w:rPr>
                <w:rFonts w:ascii="JetBrains Mono" w:hAnsi="JetBrains Mono" w:cs="宋体"/>
                <w:b/>
                <w:bCs/>
                <w:color w:val="008000"/>
                <w:kern w:val="0"/>
                <w:szCs w:val="24"/>
              </w:rPr>
              <w:t>/</w:t>
            </w:r>
            <w:r>
              <w:rPr>
                <w:rFonts w:hint="eastAsia" w:ascii="JetBrains Mono" w:hAnsi="JetBrains Mono" w:cs="宋体"/>
                <w:b/>
                <w:bCs/>
                <w:color w:val="008000"/>
                <w:kern w:val="0"/>
                <w:szCs w:val="24"/>
                <w:lang w:val="en-US" w:eastAsia="zh-Hans"/>
              </w:rPr>
              <w:t>trade</w:t>
            </w:r>
            <w:r>
              <w:rPr>
                <w:rFonts w:hint="default" w:ascii="JetBrains Mono" w:hAnsi="JetBrains Mono" w:cs="宋体"/>
                <w:b/>
                <w:bCs/>
                <w:color w:val="008000"/>
                <w:kern w:val="0"/>
                <w:szCs w:val="24"/>
                <w:lang w:eastAsia="zh-Hans"/>
              </w:rPr>
              <w:t>/</w:t>
            </w:r>
            <w:r>
              <w:rPr>
                <w:rFonts w:ascii="JetBrains Mono" w:hAnsi="JetBrains Mono" w:cs="宋体"/>
                <w:b/>
                <w:bCs/>
                <w:color w:val="008000"/>
                <w:kern w:val="0"/>
                <w:szCs w:val="24"/>
              </w:rPr>
              <w:t>inquiry/list/submit</w:t>
            </w:r>
          </w:p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hint="eastAsia" w:ascii="JetBrains Mono" w:hAnsi="JetBrains Mono" w:cs="宋体"/>
                <w:color w:val="000000"/>
                <w:kern w:val="0"/>
                <w:szCs w:val="24"/>
              </w:rPr>
            </w:pPr>
            <w:r>
              <w:rPr>
                <w:rFonts w:ascii="JetBrains Mono" w:hAnsi="JetBrains Mono" w:cs="宋体"/>
                <w:b/>
                <w:bCs/>
                <w:color w:val="008000"/>
                <w:kern w:val="0"/>
                <w:szCs w:val="24"/>
              </w:rPr>
              <w:t>/</w:t>
            </w:r>
            <w:r>
              <w:rPr>
                <w:rFonts w:hint="eastAsia" w:ascii="JetBrains Mono" w:hAnsi="JetBrains Mono" w:cs="宋体"/>
                <w:b/>
                <w:bCs/>
                <w:color w:val="008000"/>
                <w:kern w:val="0"/>
                <w:szCs w:val="24"/>
                <w:lang w:val="en-US" w:eastAsia="zh-Hans"/>
              </w:rPr>
              <w:t>trade</w:t>
            </w:r>
            <w:r>
              <w:rPr>
                <w:rFonts w:hint="default" w:ascii="JetBrains Mono" w:hAnsi="JetBrains Mono" w:cs="宋体"/>
                <w:b/>
                <w:bCs/>
                <w:color w:val="008000"/>
                <w:kern w:val="0"/>
                <w:szCs w:val="24"/>
                <w:lang w:eastAsia="zh-Hans"/>
              </w:rPr>
              <w:t>/</w:t>
            </w:r>
            <w:r>
              <w:rPr>
                <w:rFonts w:ascii="JetBrains Mono" w:hAnsi="JetBrains Mono" w:cs="宋体"/>
                <w:b/>
                <w:bCs/>
                <w:color w:val="008000"/>
                <w:kern w:val="0"/>
                <w:szCs w:val="24"/>
              </w:rPr>
              <w:t>inquiry/documents/review</w:t>
            </w:r>
          </w:p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hint="eastAsia" w:ascii="JetBrains Mono" w:hAnsi="JetBrains Mono" w:cs="宋体"/>
                <w:color w:val="000000"/>
                <w:kern w:val="0"/>
                <w:szCs w:val="24"/>
              </w:rPr>
            </w:pPr>
            <w:r>
              <w:rPr>
                <w:rFonts w:ascii="JetBrains Mono" w:hAnsi="JetBrains Mono" w:cs="宋体"/>
                <w:b/>
                <w:bCs/>
                <w:color w:val="008000"/>
                <w:kern w:val="0"/>
                <w:szCs w:val="24"/>
              </w:rPr>
              <w:t>/</w:t>
            </w:r>
            <w:r>
              <w:rPr>
                <w:rFonts w:hint="eastAsia" w:ascii="JetBrains Mono" w:hAnsi="JetBrains Mono" w:cs="宋体"/>
                <w:b/>
                <w:bCs/>
                <w:color w:val="008000"/>
                <w:kern w:val="0"/>
                <w:szCs w:val="24"/>
                <w:lang w:val="en-US" w:eastAsia="zh-Hans"/>
              </w:rPr>
              <w:t>trade</w:t>
            </w:r>
            <w:r>
              <w:rPr>
                <w:rFonts w:hint="default" w:ascii="JetBrains Mono" w:hAnsi="JetBrains Mono" w:cs="宋体"/>
                <w:b/>
                <w:bCs/>
                <w:color w:val="008000"/>
                <w:kern w:val="0"/>
                <w:szCs w:val="24"/>
                <w:lang w:eastAsia="zh-Hans"/>
              </w:rPr>
              <w:t>/</w:t>
            </w:r>
            <w:r>
              <w:rPr>
                <w:rFonts w:ascii="JetBrains Mono" w:hAnsi="JetBrains Mono" w:cs="宋体"/>
                <w:b/>
                <w:bCs/>
                <w:color w:val="008000"/>
                <w:kern w:val="0"/>
                <w:szCs w:val="24"/>
              </w:rPr>
              <w:t>inquiry/documents/review/two</w:t>
            </w:r>
          </w:p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hint="eastAsia" w:ascii="JetBrains Mono" w:hAnsi="JetBrains Mono" w:cs="宋体"/>
                <w:color w:val="000000"/>
                <w:kern w:val="0"/>
                <w:szCs w:val="24"/>
              </w:rPr>
            </w:pPr>
            <w:r>
              <w:rPr>
                <w:rFonts w:ascii="JetBrains Mono" w:hAnsi="JetBrains Mono" w:cs="宋体"/>
                <w:b/>
                <w:bCs/>
                <w:color w:val="008000"/>
                <w:kern w:val="0"/>
                <w:szCs w:val="24"/>
              </w:rPr>
              <w:t>/</w:t>
            </w:r>
            <w:r>
              <w:rPr>
                <w:rFonts w:hint="eastAsia" w:ascii="JetBrains Mono" w:hAnsi="JetBrains Mono" w:cs="宋体"/>
                <w:b/>
                <w:bCs/>
                <w:color w:val="008000"/>
                <w:kern w:val="0"/>
                <w:szCs w:val="24"/>
                <w:lang w:val="en-US" w:eastAsia="zh-Hans"/>
              </w:rPr>
              <w:t>trade</w:t>
            </w:r>
            <w:r>
              <w:rPr>
                <w:rFonts w:hint="default" w:ascii="JetBrains Mono" w:hAnsi="JetBrains Mono" w:cs="宋体"/>
                <w:b/>
                <w:bCs/>
                <w:color w:val="008000"/>
                <w:kern w:val="0"/>
                <w:szCs w:val="24"/>
                <w:lang w:eastAsia="zh-Hans"/>
              </w:rPr>
              <w:t>/</w:t>
            </w:r>
            <w:r>
              <w:rPr>
                <w:rFonts w:ascii="JetBrains Mono" w:hAnsi="JetBrains Mono" w:cs="宋体"/>
                <w:b/>
                <w:bCs/>
                <w:color w:val="008000"/>
                <w:kern w:val="0"/>
                <w:szCs w:val="24"/>
              </w:rPr>
              <w:t>inquiry/submit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6" w:type="dxa"/>
            <w:shd w:val="clear" w:color="auto" w:fill="B4C6E7" w:themeFill="accent1" w:themeFillTint="66"/>
          </w:tcPr>
          <w:p>
            <w:pPr>
              <w:rPr>
                <w:b/>
                <w:bCs/>
                <w:sz w:val="20"/>
                <w:szCs w:val="18"/>
              </w:rPr>
            </w:pPr>
            <w:r>
              <w:rPr>
                <w:rFonts w:hint="eastAsia"/>
                <w:b/>
                <w:bCs/>
                <w:sz w:val="20"/>
                <w:szCs w:val="18"/>
              </w:rPr>
              <w:t>P</w:t>
            </w:r>
            <w:r>
              <w:rPr>
                <w:b/>
                <w:bCs/>
                <w:sz w:val="20"/>
                <w:szCs w:val="18"/>
              </w:rPr>
              <w:t>ackage</w:t>
            </w:r>
          </w:p>
        </w:tc>
        <w:tc>
          <w:tcPr>
            <w:tcW w:w="660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hint="eastAsia" w:ascii="JetBrains Mono" w:hAnsi="JetBrains Mono" w:cs="宋体"/>
                <w:color w:val="000000"/>
                <w:kern w:val="0"/>
                <w:szCs w:val="24"/>
              </w:rPr>
            </w:pPr>
            <w:r>
              <w:rPr>
                <w:rFonts w:ascii="JetBrains Mono" w:hAnsi="JetBrains Mono" w:cs="宋体"/>
                <w:color w:val="000000"/>
                <w:kern w:val="0"/>
                <w:szCs w:val="24"/>
              </w:rPr>
              <w:t>com.ssy.lingxi.order.controller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6" w:type="dxa"/>
            <w:shd w:val="clear" w:color="auto" w:fill="B4C6E7" w:themeFill="accent1" w:themeFillTint="66"/>
          </w:tcPr>
          <w:p>
            <w:pPr>
              <w:rPr>
                <w:b/>
                <w:bCs/>
                <w:sz w:val="20"/>
                <w:szCs w:val="18"/>
              </w:rPr>
            </w:pPr>
            <w:r>
              <w:rPr>
                <w:rFonts w:hint="eastAsia"/>
                <w:b/>
                <w:bCs/>
                <w:sz w:val="20"/>
                <w:szCs w:val="18"/>
              </w:rPr>
              <w:t>类名</w:t>
            </w:r>
          </w:p>
        </w:tc>
        <w:tc>
          <w:tcPr>
            <w:tcW w:w="660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sz w:val="20"/>
                <w:szCs w:val="18"/>
              </w:rPr>
            </w:pPr>
            <w:r>
              <w:rPr>
                <w:rFonts w:ascii="JetBrains Mono" w:hAnsi="JetBrains Mono" w:cs="宋体"/>
                <w:color w:val="000000"/>
                <w:kern w:val="0"/>
                <w:szCs w:val="24"/>
              </w:rPr>
              <w:t>InquiryListController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6" w:type="dxa"/>
            <w:shd w:val="clear" w:color="auto" w:fill="B4C6E7" w:themeFill="accent1" w:themeFillTint="66"/>
          </w:tcPr>
          <w:p>
            <w:pPr>
              <w:rPr>
                <w:b/>
                <w:bCs/>
                <w:sz w:val="20"/>
                <w:szCs w:val="18"/>
              </w:rPr>
            </w:pPr>
            <w:r>
              <w:rPr>
                <w:rFonts w:hint="eastAsia"/>
                <w:b/>
                <w:bCs/>
                <w:sz w:val="20"/>
                <w:szCs w:val="18"/>
              </w:rPr>
              <w:t>方法名</w:t>
            </w:r>
          </w:p>
        </w:tc>
        <w:tc>
          <w:tcPr>
            <w:tcW w:w="6600" w:type="dxa"/>
          </w:tcPr>
          <w:p>
            <w:pPr>
              <w:pStyle w:val="17"/>
              <w:shd w:val="clear" w:color="auto" w:fill="FFFFFF"/>
              <w:rPr>
                <w:rFonts w:hint="eastAsia" w:ascii="JetBrains Mono" w:hAnsi="JetBrains Mono"/>
                <w:color w:val="000000"/>
              </w:rPr>
            </w:pPr>
            <w:r>
              <w:rPr>
                <w:rFonts w:ascii="JetBrains Mono" w:hAnsi="JetBrains Mono"/>
                <w:color w:val="000000"/>
              </w:rPr>
              <w:t>inquirySubmit(InquiryListSubmitRequest request, HttpServletRequest httpServletRequest)</w:t>
            </w:r>
          </w:p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hint="eastAsia" w:ascii="JetBrains Mono" w:hAnsi="JetBrains Mono" w:cs="宋体"/>
                <w:color w:val="000000"/>
                <w:kern w:val="0"/>
                <w:szCs w:val="24"/>
              </w:rPr>
            </w:pPr>
            <w:r>
              <w:rPr>
                <w:rFonts w:ascii="JetBrains Mono" w:hAnsi="JetBrains Mono" w:cs="宋体"/>
                <w:color w:val="000000"/>
                <w:kern w:val="0"/>
                <w:szCs w:val="24"/>
              </w:rPr>
              <w:t>inquiryDocumentsReviewTwo(</w:t>
            </w:r>
            <w:r>
              <w:rPr>
                <w:rFonts w:ascii="JetBrains Mono" w:hAnsi="JetBrains Mono" w:cs="宋体"/>
                <w:color w:val="808000"/>
                <w:kern w:val="0"/>
                <w:szCs w:val="24"/>
              </w:rPr>
              <w:t xml:space="preserve">@RequestBody  </w:t>
            </w:r>
            <w:r>
              <w:rPr>
                <w:rFonts w:ascii="JetBrains Mono" w:hAnsi="JetBrains Mono" w:cs="宋体"/>
                <w:color w:val="000000"/>
                <w:kern w:val="0"/>
                <w:szCs w:val="24"/>
              </w:rPr>
              <w:t>InquiryListSubmitRequest request, HttpServletRequest httpServletRequest)</w:t>
            </w:r>
          </w:p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hint="eastAsia" w:ascii="JetBrains Mono" w:hAnsi="JetBrains Mono" w:cs="宋体"/>
                <w:color w:val="000000"/>
                <w:kern w:val="0"/>
                <w:szCs w:val="24"/>
              </w:rPr>
            </w:pPr>
            <w:r>
              <w:rPr>
                <w:rFonts w:ascii="JetBrains Mono" w:hAnsi="JetBrains Mono" w:cs="宋体"/>
                <w:color w:val="000000"/>
                <w:kern w:val="0"/>
                <w:szCs w:val="24"/>
              </w:rPr>
              <w:t>inquiryDocumentsReview(</w:t>
            </w:r>
            <w:r>
              <w:rPr>
                <w:rFonts w:ascii="JetBrains Mono" w:hAnsi="JetBrains Mono" w:cs="宋体"/>
                <w:color w:val="808000"/>
                <w:kern w:val="0"/>
                <w:szCs w:val="24"/>
              </w:rPr>
              <w:t xml:space="preserve">@RequestBody  </w:t>
            </w:r>
            <w:r>
              <w:rPr>
                <w:rFonts w:ascii="JetBrains Mono" w:hAnsi="JetBrains Mono" w:cs="宋体"/>
                <w:color w:val="000000"/>
                <w:kern w:val="0"/>
                <w:szCs w:val="24"/>
              </w:rPr>
              <w:t>InquiryListSubmitRequest request, HttpServletRequest httpServletRequest)</w:t>
            </w:r>
          </w:p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hint="eastAsia" w:ascii="JetBrains Mono" w:hAnsi="JetBrains Mono" w:cs="宋体"/>
                <w:color w:val="000000"/>
                <w:kern w:val="0"/>
                <w:szCs w:val="24"/>
              </w:rPr>
            </w:pPr>
            <w:r>
              <w:rPr>
                <w:rFonts w:ascii="JetBrains Mono" w:hAnsi="JetBrains Mono" w:cs="宋体"/>
                <w:color w:val="000000"/>
                <w:kern w:val="0"/>
                <w:szCs w:val="24"/>
              </w:rPr>
              <w:t>inquiryListSubmit(</w:t>
            </w:r>
            <w:r>
              <w:rPr>
                <w:rFonts w:ascii="JetBrains Mono" w:hAnsi="JetBrains Mono" w:cs="宋体"/>
                <w:color w:val="808000"/>
                <w:kern w:val="0"/>
                <w:szCs w:val="24"/>
              </w:rPr>
              <w:t xml:space="preserve">@RequestBody  </w:t>
            </w:r>
            <w:r>
              <w:rPr>
                <w:rFonts w:ascii="JetBrains Mono" w:hAnsi="JetBrains Mono" w:cs="宋体"/>
                <w:color w:val="000000"/>
                <w:kern w:val="0"/>
                <w:szCs w:val="24"/>
              </w:rPr>
              <w:t>InquiryListSubmitRequest request,HttpServletRequest httpServletRequest)</w:t>
            </w:r>
          </w:p>
        </w:tc>
      </w:tr>
    </w:tbl>
    <w:p>
      <w:pPr>
        <w:rPr>
          <w:sz w:val="22"/>
          <w:szCs w:val="21"/>
        </w:rPr>
      </w:pPr>
    </w:p>
    <w:p>
      <w:pPr>
        <w:rPr>
          <w:sz w:val="22"/>
          <w:szCs w:val="21"/>
        </w:rPr>
      </w:pPr>
      <w:r>
        <w:drawing>
          <wp:inline distT="0" distB="0" distL="0" distR="0">
            <wp:extent cx="5265420" cy="1610360"/>
            <wp:effectExtent l="0" t="0" r="17780" b="152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4553" cy="165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sz w:val="28"/>
          <w:szCs w:val="28"/>
        </w:rPr>
      </w:pPr>
      <w:bookmarkStart w:id="19" w:name="_Toc159263603"/>
      <w:r>
        <w:rPr>
          <w:rFonts w:hint="eastAsia"/>
          <w:sz w:val="28"/>
          <w:szCs w:val="28"/>
        </w:rPr>
        <w:t>报价单内部流程审核</w:t>
      </w:r>
      <w:bookmarkEnd w:id="19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6" w:type="dxa"/>
            <w:shd w:val="clear" w:color="auto" w:fill="B4C6E7" w:themeFill="accent1" w:themeFillTint="66"/>
          </w:tcPr>
          <w:p>
            <w:pPr>
              <w:rPr>
                <w:b/>
                <w:bCs/>
                <w:sz w:val="20"/>
                <w:szCs w:val="18"/>
              </w:rPr>
            </w:pPr>
            <w:r>
              <w:rPr>
                <w:rFonts w:hint="eastAsia"/>
                <w:b/>
                <w:bCs/>
                <w:sz w:val="20"/>
                <w:szCs w:val="18"/>
              </w:rPr>
              <w:t>接口U</w:t>
            </w:r>
            <w:r>
              <w:rPr>
                <w:b/>
                <w:bCs/>
                <w:sz w:val="20"/>
                <w:szCs w:val="18"/>
              </w:rPr>
              <w:t>rl</w:t>
            </w:r>
          </w:p>
        </w:tc>
        <w:tc>
          <w:tcPr>
            <w:tcW w:w="660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hint="eastAsia" w:ascii="JetBrains Mono" w:hAnsi="JetBrains Mono" w:cs="宋体"/>
                <w:color w:val="000000"/>
                <w:kern w:val="0"/>
                <w:szCs w:val="24"/>
              </w:rPr>
            </w:pPr>
            <w:r>
              <w:rPr>
                <w:rFonts w:ascii="JetBrains Mono" w:hAnsi="JetBrains Mono" w:cs="宋体"/>
                <w:b/>
                <w:bCs/>
                <w:color w:val="008000"/>
                <w:kern w:val="0"/>
                <w:szCs w:val="24"/>
              </w:rPr>
              <w:t>/</w:t>
            </w:r>
            <w:r>
              <w:rPr>
                <w:rFonts w:hint="default" w:ascii="JetBrains Mono" w:hAnsi="JetBrains Mono" w:cs="宋体"/>
                <w:b/>
                <w:bCs/>
                <w:color w:val="008000"/>
                <w:kern w:val="0"/>
                <w:szCs w:val="24"/>
              </w:rPr>
              <w:t>trade/</w:t>
            </w:r>
            <w:r>
              <w:rPr>
                <w:rFonts w:ascii="JetBrains Mono" w:hAnsi="JetBrains Mono" w:cs="宋体"/>
                <w:b/>
                <w:bCs/>
                <w:color w:val="008000"/>
                <w:kern w:val="0"/>
                <w:szCs w:val="24"/>
              </w:rPr>
              <w:t>product/quotationt/submit</w:t>
            </w:r>
          </w:p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hint="eastAsia" w:ascii="JetBrains Mono" w:hAnsi="JetBrains Mono" w:cs="宋体"/>
                <w:color w:val="000000"/>
                <w:kern w:val="0"/>
                <w:szCs w:val="24"/>
              </w:rPr>
            </w:pPr>
            <w:r>
              <w:rPr>
                <w:rFonts w:ascii="JetBrains Mono" w:hAnsi="JetBrains Mono" w:cs="宋体"/>
                <w:b/>
                <w:bCs/>
                <w:color w:val="008000"/>
                <w:kern w:val="0"/>
                <w:szCs w:val="24"/>
              </w:rPr>
              <w:t>/</w:t>
            </w:r>
            <w:r>
              <w:rPr>
                <w:rFonts w:hint="default" w:ascii="JetBrains Mono" w:hAnsi="JetBrains Mono" w:cs="宋体"/>
                <w:b/>
                <w:bCs/>
                <w:color w:val="008000"/>
                <w:kern w:val="0"/>
                <w:szCs w:val="24"/>
              </w:rPr>
              <w:t>trade/</w:t>
            </w:r>
            <w:r>
              <w:rPr>
                <w:rFonts w:ascii="JetBrains Mono" w:hAnsi="JetBrains Mono" w:cs="宋体"/>
                <w:b/>
                <w:bCs/>
                <w:color w:val="008000"/>
                <w:kern w:val="0"/>
                <w:szCs w:val="24"/>
              </w:rPr>
              <w:t>product/quotationt/audit/submit</w:t>
            </w:r>
          </w:p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hint="eastAsia" w:ascii="JetBrains Mono" w:hAnsi="JetBrains Mono" w:cs="宋体"/>
                <w:color w:val="000000"/>
                <w:kern w:val="0"/>
                <w:szCs w:val="24"/>
              </w:rPr>
            </w:pPr>
            <w:r>
              <w:rPr>
                <w:rFonts w:ascii="JetBrains Mono" w:hAnsi="JetBrains Mono" w:cs="宋体"/>
                <w:b/>
                <w:bCs/>
                <w:color w:val="008000"/>
                <w:kern w:val="0"/>
                <w:szCs w:val="24"/>
              </w:rPr>
              <w:t>/</w:t>
            </w:r>
            <w:r>
              <w:rPr>
                <w:rFonts w:hint="default" w:ascii="JetBrains Mono" w:hAnsi="JetBrains Mono" w:cs="宋体"/>
                <w:b/>
                <w:bCs/>
                <w:color w:val="008000"/>
                <w:kern w:val="0"/>
                <w:szCs w:val="24"/>
              </w:rPr>
              <w:t>trade/</w:t>
            </w:r>
            <w:r>
              <w:rPr>
                <w:rFonts w:ascii="JetBrains Mono" w:hAnsi="JetBrains Mono" w:cs="宋体"/>
                <w:b/>
                <w:bCs/>
                <w:color w:val="008000"/>
                <w:kern w:val="0"/>
                <w:szCs w:val="24"/>
              </w:rPr>
              <w:t>product/quotationt/audit/submit/two</w:t>
            </w:r>
          </w:p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hint="eastAsia" w:ascii="JetBrains Mono" w:hAnsi="JetBrains Mono" w:cs="宋体"/>
                <w:color w:val="000000"/>
                <w:kern w:val="0"/>
                <w:szCs w:val="24"/>
              </w:rPr>
            </w:pPr>
            <w:r>
              <w:rPr>
                <w:rFonts w:ascii="JetBrains Mono" w:hAnsi="JetBrains Mono" w:cs="宋体"/>
                <w:b/>
                <w:bCs/>
                <w:color w:val="008000"/>
                <w:kern w:val="0"/>
                <w:szCs w:val="24"/>
              </w:rPr>
              <w:t>/</w:t>
            </w:r>
            <w:r>
              <w:rPr>
                <w:rFonts w:hint="default" w:ascii="JetBrains Mono" w:hAnsi="JetBrains Mono" w:cs="宋体"/>
                <w:b/>
                <w:bCs/>
                <w:color w:val="008000"/>
                <w:kern w:val="0"/>
                <w:szCs w:val="24"/>
              </w:rPr>
              <w:t>trade/</w:t>
            </w:r>
            <w:r>
              <w:rPr>
                <w:rFonts w:ascii="JetBrains Mono" w:hAnsi="JetBrains Mono" w:cs="宋体"/>
                <w:b/>
                <w:bCs/>
                <w:color w:val="008000"/>
                <w:kern w:val="0"/>
                <w:szCs w:val="24"/>
              </w:rPr>
              <w:t>product/quotationt/to/submit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6" w:type="dxa"/>
            <w:shd w:val="clear" w:color="auto" w:fill="B4C6E7" w:themeFill="accent1" w:themeFillTint="66"/>
          </w:tcPr>
          <w:p>
            <w:pPr>
              <w:rPr>
                <w:b/>
                <w:bCs/>
                <w:sz w:val="20"/>
                <w:szCs w:val="18"/>
              </w:rPr>
            </w:pPr>
            <w:r>
              <w:rPr>
                <w:rFonts w:hint="eastAsia"/>
                <w:b/>
                <w:bCs/>
                <w:sz w:val="20"/>
                <w:szCs w:val="18"/>
              </w:rPr>
              <w:t>P</w:t>
            </w:r>
            <w:r>
              <w:rPr>
                <w:b/>
                <w:bCs/>
                <w:sz w:val="20"/>
                <w:szCs w:val="18"/>
              </w:rPr>
              <w:t>ackage</w:t>
            </w:r>
          </w:p>
        </w:tc>
        <w:tc>
          <w:tcPr>
            <w:tcW w:w="660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hint="eastAsia" w:ascii="JetBrains Mono" w:hAnsi="JetBrains Mono" w:cs="宋体"/>
                <w:color w:val="000000"/>
                <w:kern w:val="0"/>
                <w:szCs w:val="24"/>
              </w:rPr>
            </w:pPr>
            <w:r>
              <w:rPr>
                <w:rFonts w:ascii="JetBrains Mono" w:hAnsi="JetBrains Mono" w:cs="宋体"/>
                <w:color w:val="000000"/>
                <w:kern w:val="0"/>
                <w:szCs w:val="24"/>
              </w:rPr>
              <w:t>com.ssy.lingxi.order.controller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6" w:type="dxa"/>
            <w:shd w:val="clear" w:color="auto" w:fill="B4C6E7" w:themeFill="accent1" w:themeFillTint="66"/>
          </w:tcPr>
          <w:p>
            <w:pPr>
              <w:rPr>
                <w:b/>
                <w:bCs/>
                <w:sz w:val="20"/>
                <w:szCs w:val="18"/>
              </w:rPr>
            </w:pPr>
            <w:r>
              <w:rPr>
                <w:rFonts w:hint="eastAsia"/>
                <w:b/>
                <w:bCs/>
                <w:sz w:val="20"/>
                <w:szCs w:val="18"/>
              </w:rPr>
              <w:t>类名</w:t>
            </w:r>
          </w:p>
        </w:tc>
        <w:tc>
          <w:tcPr>
            <w:tcW w:w="660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sz w:val="20"/>
                <w:szCs w:val="18"/>
              </w:rPr>
            </w:pPr>
            <w:r>
              <w:rPr>
                <w:rFonts w:ascii="JetBrains Mono" w:hAnsi="JetBrains Mono" w:cs="宋体"/>
                <w:color w:val="000000"/>
                <w:kern w:val="0"/>
                <w:szCs w:val="24"/>
              </w:rPr>
              <w:t>ProductQuotationController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6" w:type="dxa"/>
            <w:shd w:val="clear" w:color="auto" w:fill="B4C6E7" w:themeFill="accent1" w:themeFillTint="66"/>
          </w:tcPr>
          <w:p>
            <w:pPr>
              <w:rPr>
                <w:b/>
                <w:bCs/>
                <w:sz w:val="20"/>
                <w:szCs w:val="18"/>
              </w:rPr>
            </w:pPr>
            <w:r>
              <w:rPr>
                <w:rFonts w:hint="eastAsia"/>
                <w:b/>
                <w:bCs/>
                <w:sz w:val="20"/>
                <w:szCs w:val="18"/>
              </w:rPr>
              <w:t>方法名</w:t>
            </w:r>
          </w:p>
        </w:tc>
        <w:tc>
          <w:tcPr>
            <w:tcW w:w="660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hint="eastAsia" w:ascii="JetBrains Mono" w:hAnsi="JetBrains Mono" w:cs="宋体"/>
                <w:color w:val="000000"/>
                <w:kern w:val="0"/>
                <w:szCs w:val="24"/>
              </w:rPr>
            </w:pPr>
            <w:r>
              <w:rPr>
                <w:rFonts w:ascii="JetBrains Mono" w:hAnsi="JetBrains Mono" w:cs="宋体"/>
                <w:color w:val="000000"/>
                <w:kern w:val="0"/>
                <w:szCs w:val="24"/>
              </w:rPr>
              <w:t>productQuotationSubmit(ProductQuotationSubmitRequest request,HttpServletRequest httpServletRequest)</w:t>
            </w:r>
          </w:p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hint="eastAsia" w:ascii="JetBrains Mono" w:hAnsi="JetBrains Mono" w:cs="宋体"/>
                <w:color w:val="000000"/>
                <w:kern w:val="0"/>
                <w:szCs w:val="24"/>
              </w:rPr>
            </w:pPr>
            <w:r>
              <w:rPr>
                <w:rFonts w:ascii="JetBrains Mono" w:hAnsi="JetBrains Mono" w:cs="宋体"/>
                <w:color w:val="000000"/>
                <w:kern w:val="0"/>
                <w:szCs w:val="24"/>
              </w:rPr>
              <w:t>inquiryDocumentsReviewTwo(</w:t>
            </w:r>
            <w:r>
              <w:rPr>
                <w:rFonts w:ascii="JetBrains Mono" w:hAnsi="JetBrains Mono" w:cs="宋体"/>
                <w:color w:val="808000"/>
                <w:kern w:val="0"/>
                <w:szCs w:val="24"/>
              </w:rPr>
              <w:t xml:space="preserve">@RequestBody  </w:t>
            </w:r>
            <w:r>
              <w:rPr>
                <w:rFonts w:ascii="JetBrains Mono" w:hAnsi="JetBrains Mono" w:cs="宋体"/>
                <w:color w:val="000000"/>
                <w:kern w:val="0"/>
                <w:szCs w:val="24"/>
              </w:rPr>
              <w:t>InquiryListSubmitRequest request, HttpServletRequest httpServletRequest)</w:t>
            </w:r>
          </w:p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hint="eastAsia" w:ascii="JetBrains Mono" w:hAnsi="JetBrains Mono" w:cs="宋体"/>
                <w:color w:val="000000"/>
                <w:kern w:val="0"/>
                <w:szCs w:val="24"/>
              </w:rPr>
            </w:pPr>
            <w:r>
              <w:rPr>
                <w:rFonts w:ascii="JetBrains Mono" w:hAnsi="JetBrains Mono" w:cs="宋体"/>
                <w:color w:val="000000"/>
                <w:kern w:val="0"/>
                <w:szCs w:val="24"/>
              </w:rPr>
              <w:t>inquiryDocumentsReview(</w:t>
            </w:r>
            <w:r>
              <w:rPr>
                <w:rFonts w:ascii="JetBrains Mono" w:hAnsi="JetBrains Mono" w:cs="宋体"/>
                <w:color w:val="808000"/>
                <w:kern w:val="0"/>
                <w:szCs w:val="24"/>
              </w:rPr>
              <w:t xml:space="preserve">@RequestBody  </w:t>
            </w:r>
            <w:r>
              <w:rPr>
                <w:rFonts w:ascii="JetBrains Mono" w:hAnsi="JetBrains Mono" w:cs="宋体"/>
                <w:color w:val="000000"/>
                <w:kern w:val="0"/>
                <w:szCs w:val="24"/>
              </w:rPr>
              <w:t>InquiryListSubmitRequest request, HttpServletRequest httpServletRequest)</w:t>
            </w:r>
          </w:p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hint="eastAsia" w:ascii="JetBrains Mono" w:hAnsi="JetBrains Mono" w:cs="宋体"/>
                <w:color w:val="000000"/>
                <w:kern w:val="0"/>
                <w:szCs w:val="24"/>
              </w:rPr>
            </w:pPr>
            <w:r>
              <w:rPr>
                <w:rFonts w:ascii="JetBrains Mono" w:hAnsi="JetBrains Mono" w:cs="宋体"/>
                <w:color w:val="000000"/>
                <w:kern w:val="0"/>
                <w:szCs w:val="24"/>
              </w:rPr>
              <w:t>inquiryListSubmit(</w:t>
            </w:r>
            <w:r>
              <w:rPr>
                <w:rFonts w:ascii="JetBrains Mono" w:hAnsi="JetBrains Mono" w:cs="宋体"/>
                <w:color w:val="808000"/>
                <w:kern w:val="0"/>
                <w:szCs w:val="24"/>
              </w:rPr>
              <w:t xml:space="preserve">@RequestBody  </w:t>
            </w:r>
            <w:r>
              <w:rPr>
                <w:rFonts w:ascii="JetBrains Mono" w:hAnsi="JetBrains Mono" w:cs="宋体"/>
                <w:color w:val="000000"/>
                <w:kern w:val="0"/>
                <w:szCs w:val="24"/>
              </w:rPr>
              <w:t>InquiryListSubmitRequest request,HttpServletRequest httpServletRequest)</w:t>
            </w:r>
          </w:p>
        </w:tc>
      </w:tr>
    </w:tbl>
    <w:p>
      <w:r>
        <w:drawing>
          <wp:inline distT="0" distB="0" distL="0" distR="0">
            <wp:extent cx="5407025" cy="1227455"/>
            <wp:effectExtent l="0" t="0" r="3175" b="171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7427" cy="128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bookmarkStart w:id="20" w:name="_Toc978751459"/>
      <w:r>
        <w:rPr>
          <w:rFonts w:hint="eastAsia"/>
        </w:rPr>
        <w:t>数据库设计</w:t>
      </w:r>
      <w:bookmarkEnd w:id="20"/>
    </w:p>
    <w:p>
      <w:pPr>
        <w:pStyle w:val="3"/>
      </w:pPr>
      <w:bookmarkStart w:id="21" w:name="_Toc151035393"/>
      <w:r>
        <w:rPr>
          <w:rFonts w:hint="eastAsia"/>
        </w:rPr>
        <w:t>说明</w:t>
      </w:r>
      <w:bookmarkEnd w:id="21"/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  <w:lang w:eastAsia="zh-CN"/>
        </w:rPr>
        <w:t>交易服务</w:t>
      </w:r>
      <w:r>
        <w:rPr>
          <w:rFonts w:hint="eastAsia"/>
        </w:rPr>
        <w:t>所有数据库表名前缀统一为“</w:t>
      </w:r>
      <w:r>
        <w:rPr>
          <w:rFonts w:hint="eastAsia"/>
          <w:lang w:val="en-US" w:eastAsia="zh-CN"/>
        </w:rPr>
        <w:t>pur</w:t>
      </w:r>
      <w:r>
        <w:t>_</w:t>
      </w:r>
      <w:r>
        <w:rPr>
          <w:rFonts w:hint="eastAsia"/>
        </w:rPr>
        <w:t>”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除多对多关联的中间表外，每个表以i</w:t>
      </w:r>
      <w:r>
        <w:t>d</w:t>
      </w:r>
      <w:r>
        <w:rPr>
          <w:rFonts w:hint="eastAsia"/>
        </w:rPr>
        <w:t>字段作为唯一主键，创建数据库序列作为i</w:t>
      </w:r>
      <w:r>
        <w:t>d</w:t>
      </w:r>
      <w:r>
        <w:rPr>
          <w:rFonts w:hint="eastAsia"/>
        </w:rPr>
        <w:t>字段自增的值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数据库序列名的格式为：[数据库表名</w:t>
      </w:r>
      <w:r>
        <w:t>]</w:t>
      </w:r>
      <w:r>
        <w:rPr>
          <w:rFonts w:hint="eastAsia"/>
        </w:rPr>
        <w:t>_</w:t>
      </w:r>
      <w:r>
        <w:t>seq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数据库表对应实体定义在com.ssy.lingxi.trade.entity</w:t>
      </w:r>
      <w:r>
        <w:t>.*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实体字段名采用</w:t>
      </w:r>
      <w:r>
        <w:t>Lower Camel Case</w:t>
      </w:r>
      <w:r>
        <w:rPr>
          <w:rFonts w:hint="eastAsia"/>
        </w:rPr>
        <w:t>，数据库表字段的命名由S</w:t>
      </w:r>
      <w:r>
        <w:t>pring Data JPA</w:t>
      </w:r>
      <w:r>
        <w:rPr>
          <w:rFonts w:hint="eastAsia"/>
        </w:rPr>
        <w:t>转换为以下划线分隔小写单词的形式，例如：</w:t>
      </w:r>
    </w:p>
    <w:p>
      <w:pPr>
        <w:pStyle w:val="37"/>
        <w:ind w:left="420" w:firstLine="0" w:firstLineChars="0"/>
      </w:pPr>
      <w:r>
        <w:rPr>
          <w:rFonts w:hint="eastAsia"/>
        </w:rPr>
        <w:t>实体类字段命名：c</w:t>
      </w:r>
      <w:r>
        <w:t>reateTime</w:t>
      </w:r>
    </w:p>
    <w:p>
      <w:pPr>
        <w:pStyle w:val="37"/>
        <w:ind w:left="420" w:firstLine="0" w:firstLineChars="0"/>
      </w:pPr>
      <w:r>
        <w:rPr>
          <w:rFonts w:hint="eastAsia"/>
        </w:rPr>
        <w:t>数据库字段命名：c</w:t>
      </w:r>
      <w:r>
        <w:t>reate_time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数据库表字段除主键I</w:t>
      </w:r>
      <w:r>
        <w:t>d</w:t>
      </w:r>
      <w:r>
        <w:rPr>
          <w:rFonts w:hint="eastAsia"/>
        </w:rPr>
        <w:t>字段外，其他字段均允许为N</w:t>
      </w:r>
      <w:r>
        <w:t>ull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本服务使用的P</w:t>
      </w:r>
      <w:r>
        <w:t>ostgreSQL</w:t>
      </w:r>
      <w:r>
        <w:rPr>
          <w:rFonts w:hint="eastAsia"/>
        </w:rPr>
        <w:t>的日期时间字段，均为t</w:t>
      </w:r>
      <w:r>
        <w:t>imestamp without timezone</w:t>
      </w:r>
      <w:r>
        <w:rPr>
          <w:rFonts w:hint="eastAsia"/>
        </w:rPr>
        <w:t>类型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一些复杂对象，为减少表之间、数据之间的关联，以自定义B</w:t>
      </w:r>
      <w:r>
        <w:t>O</w:t>
      </w:r>
      <w:r>
        <w:rPr>
          <w:rFonts w:hint="eastAsia"/>
        </w:rPr>
        <w:t>对象保存在数据库的J</w:t>
      </w:r>
      <w:r>
        <w:t>sonb</w:t>
      </w:r>
      <w:r>
        <w:rPr>
          <w:rFonts w:hint="eastAsia"/>
        </w:rPr>
        <w:t>类型字段中</w:t>
      </w:r>
    </w:p>
    <w:p>
      <w:pPr>
        <w:pStyle w:val="3"/>
      </w:pPr>
      <w:bookmarkStart w:id="22" w:name="_Toc126179397"/>
      <w:r>
        <w:rPr>
          <w:rFonts w:hint="eastAsia"/>
        </w:rPr>
        <w:t>表</w:t>
      </w:r>
      <w:r>
        <w:rPr>
          <w:rFonts w:hint="eastAsia"/>
          <w:lang w:val="en-US" w:eastAsia="zh-CN"/>
        </w:rPr>
        <w:t>清单</w:t>
      </w:r>
      <w:bookmarkEnd w:id="22"/>
    </w:p>
    <w:tbl>
      <w:tblPr>
        <w:tblStyle w:val="18"/>
        <w:tblW w:w="4999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autofit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400"/>
        <w:gridCol w:w="4924"/>
      </w:tblGrid>
      <w:tr>
        <w:trPr>
          <w:cantSplit/>
          <w:trHeight w:val="375" w:hRule="atLeast"/>
        </w:trPr>
        <w:tc>
          <w:tcPr>
            <w:tcW w:w="2042" w:type="pct"/>
            <w:shd w:val="clear" w:color="auto" w:fill="8EAADB" w:themeFill="accent1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数据表</w:t>
            </w:r>
          </w:p>
        </w:tc>
        <w:tc>
          <w:tcPr>
            <w:tcW w:w="2957" w:type="pct"/>
            <w:shd w:val="clear" w:color="auto" w:fill="8EAADB" w:themeFill="accent1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tra_ask_purchase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求购单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tra_ask_purchase_goods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求购物料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tra_ask_purchase_member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="Source Han Sans CN Regular" w:hAnsi="Source Han Sans CN Regular" w:eastAsia="Source Han Sans CN Regular" w:cs="Source Han Sans CN Regular"/>
                <w:sz w:val="21"/>
                <w:lang w:val="en-US" w:eastAsia="zh-CN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求购会员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tra_ask_purchase_outer_record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求购-采购商与供应商流转记录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tra_ask_purchase_quote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求购-报价单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tra_ask_purchase_quote_goods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求购报价-物料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tra_ask_purchase_record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求购/求购报价 流转记录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tra_ask_purchase_shop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求购-发布的商城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tra_confirm_quote_interior_record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确认报价--内部操作记录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tra_inquiry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询价单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tra_inquiry_external_record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询价单--外部记录表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tra_inquiry_interior_record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询价单--内部记录表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tra_inquiry_product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询价单--商品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tra_inquiry_product_commodity_area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商品对应的区域表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tra_quote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报价单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tra_quote_interior_record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报价单-内部操作记录</w:t>
            </w:r>
          </w:p>
        </w:tc>
      </w:tr>
    </w:tbl>
    <w:p>
      <w:pPr>
        <w:rPr>
          <w:rFonts w:hint="default"/>
          <w:lang w:val="en-US"/>
        </w:rPr>
      </w:pPr>
    </w:p>
    <w:p>
      <w:pPr>
        <w:pStyle w:val="3"/>
        <w:bidi w:val="0"/>
        <w:rPr>
          <w:rFonts w:hint="default"/>
          <w:lang w:val="en-US"/>
        </w:rPr>
      </w:pPr>
      <w:bookmarkStart w:id="23" w:name="_Toc1130765790"/>
      <w:r>
        <w:rPr>
          <w:rFonts w:hint="eastAsia"/>
          <w:lang w:val="en-US" w:eastAsia="zh-CN"/>
        </w:rPr>
        <w:t>表定义</w:t>
      </w:r>
      <w:bookmarkEnd w:id="23"/>
    </w:p>
    <w:p>
      <w:pPr>
        <w:pStyle w:val="4"/>
        <w:bidi w:val="0"/>
        <w:rPr>
          <w:rFonts w:hint="default"/>
          <w:lang w:val="en-US"/>
        </w:rPr>
      </w:pPr>
      <w:bookmarkStart w:id="24" w:name="_Toc1697840227"/>
      <w:r>
        <w:rPr>
          <w:rFonts w:hint="eastAsia"/>
          <w:lang w:val="en-US" w:eastAsia="zh-CN"/>
        </w:rPr>
        <w:t>数据初始化表</w:t>
      </w:r>
      <w:bookmarkEnd w:id="24"/>
    </w:p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sz w:val="24"/>
          <w:u w:color="auto"/>
          <w:lang w:val="en-US" w:eastAsia="zh-CN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tra_ask_purchase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求购单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ask_purchase_no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bill_time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单据时间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contact_country_code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联系人国家代码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contact_mobile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联系人手机号码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contact_name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联系人名称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contact_user_id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联系人Id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deliver_address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交付地址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deliver_address_id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*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enclosure_urls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附件链接集合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logistics_require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采购商会员id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采购商名称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采购商角色id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需求单摘要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other_require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其他要求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package_require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包装要求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payment_way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付款方式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publish_type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发布类型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quote_end_time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报价截止时间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quote_require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taxes_require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税费要求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tra_ask_purchase_goods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求购物料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品牌id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品牌名称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enclosure_urls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附件链接集合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goods_id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goods_name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goods_no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求购数量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numeric(19,3)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specification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规格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修改时间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ask_purchase_id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tbl>
      <w:tblPr>
        <w:tblStyle w:val="18"/>
        <w:tblpPr w:leftFromText="180" w:rightFromText="180" w:vertAnchor="text" w:horzAnchor="page" w:tblpX="1807" w:tblpY="933"/>
        <w:tblOverlap w:val="never"/>
        <w:tblW w:w="5132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2465"/>
        <w:gridCol w:w="1679"/>
        <w:gridCol w:w="1193"/>
        <w:gridCol w:w="1202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member_grade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会员等级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member_role_name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member_type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修改时间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ask_purchase_id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tra_ask_purchase_member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val="en-US" w:eastAsia="zh-Hans"/>
        </w:rPr>
        <w:t>求购会员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pPr w:leftFromText="180" w:rightFromText="180" w:vertAnchor="text" w:horzAnchor="page" w:tblpX="1807" w:tblpY="937"/>
        <w:tblOverlap w:val="never"/>
        <w:tblW w:w="5132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2465"/>
        <w:gridCol w:w="1679"/>
        <w:gridCol w:w="1193"/>
        <w:gridCol w:w="1202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department_id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操作人部门id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department_name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操作人部门名称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operate_code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operate_user_id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operate_user_name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操作人名字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position_id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操作人职位id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position_name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操作人职位名称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purchase_member_id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采购商会员id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purchase_member_name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采购商名称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purchase_member_role_id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采购商会员角色id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remark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备注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supplier_member_id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供应商会员id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supplier_member_name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供应商名称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supplier_member_role_id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供应商会员角色id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ask_purchase_id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ask_purchase_quote_id</w:t>
            </w:r>
          </w:p>
        </w:tc>
        <w:tc>
          <w:tcPr>
            <w:tcW w:w="14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tra_ask_purchase_outer_record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求购-采购商与供应商流转记录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tra_ask_purchase_quote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求购-报价单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bill_time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单据时间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contact_country_code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联系人国家代码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contact_mobile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联系人号码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contact_name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联系人名字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currency_id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币种id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currency_name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币种名称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deliver_remark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enclosure_urls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附件链接集合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logistics_remark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供应商memberId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供应商名称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供应商memberRoleId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other_remark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其他说明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package_remark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payment_remark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求购报价单 单号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询价报价--内部状态: 1.待提交审核 2.审核报价单 3.审核报价单2级 4.提交询价单 5.审核通过 6.审核不通过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工作流taskId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taxes_remark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税费说明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ask_purchase_id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tra_ask_purchase_quote_goods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求购报价-物料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品牌id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品牌名称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commodity_id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关联商品id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commodity_name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关联商品名称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goods_id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goods_name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goods_no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include_tax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是否含税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求购数量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numeric(19,3)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quote_end_time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报价有效结束时间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quote_start_time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报价有效开始时间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specification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规格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tax_rate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税率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total_price_with_tax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含税金额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total_price_without_tax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不含税金额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unit_price_with_tax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含税单价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unit_price_without_tax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不含税单价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ask_purchase_quote_id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tra_ask_purchase_record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求购/求购报价 流转记录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操作人部门id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操作人部门名称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operate_user_name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操作人名字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position_id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操作人职位id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position_name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操作人职位名称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采购商会员id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采购商名称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采购商会员角色id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备注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supplier_member_id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供应商会员id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supplier_member_name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供应商名称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supplier_member_role_id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供应商会员角色id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ask_purchase_id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ask_purchase_quote_id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tra_ask_purchase_shop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求购-发布的商城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ask_purchase_id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tra_confirm_quote_interior_record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确认报价--内部操作记录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audit_opinion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notarize_enquiry_quoted_price_id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position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tra_inquiry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询价单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contact_id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询价联系人id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contact_name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询价联系人姓名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contact_phone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询价联系人电话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创建会员名字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delivery_time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交付日期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details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询价单摘要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enclosure_urls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附件链接集合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external_state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external_task_id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外部工作流流程taskId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full_address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交付地址详情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full_address_id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交付地址ID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inquiry_list_no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询价单编号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integral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发货者积分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interior_state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interior_task_id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内部工作流流程taskId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is_quoted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是否已经报价：1.是 0.否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is_second_inquiry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是否可以二次询价: 空-不显示二次询价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logistics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被询价会员id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被询价会员名称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被询价会员角色id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被询价会员角色名称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offer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other_require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其他要求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pack_require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包装要求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payment_type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付款方式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phone_code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询价联系人电话国标码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quotation_as_time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报价截止时间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quote_user_id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用户id(报价方)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quote_user_name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用户名称(报价方)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taxes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税费要求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用户id(询价方)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用户名称(询价方)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voucher_time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单据时间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tra_inquiry_external_record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询价单--外部记录表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audit_opinion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inquiry_list_id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商品询价单ID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操作角色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tra_inquiry_interior_record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询价单--内部记录表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audit_opinion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inquiry_list_id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商品询价单ID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position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tra_inquiry_product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询价单--商品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商品品牌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commodity_id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img_url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商品主图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is_all_area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是否不限制区域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logistics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物流信息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供应会员ID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供应会员ID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min_order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最小起订数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money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总金额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报价单价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商品skuId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tax_rate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税率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upper_commodity_sku_id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上游商品skuId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upper_member_id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上游供应会员id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upper_member_name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上游供应会员名称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upper_member_role_id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上游供应会员角色id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upper_member_role_name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上游供应会员角色名称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inquiry_id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商品询价单ID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商品报价单ID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tra_inquiry_product_commodity_area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商品对应的区域表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city_code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市级编码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city_name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市级名称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is_all_city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是否不限制城市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is_all_region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是否不限制区域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province_code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省级编码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province_name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省级名称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region_code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区域编码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region_name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区域名称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inquiry_product_id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询价商品id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tra_quote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报价单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confirm_interior_state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确认询价报价--内部状态: 1.待提交审核 2.审核报价单 3.审核报价单2级 4.提交询价单 5.审核通过 6.审核不通过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confirm_interior_task_id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确认询价报价内部工作流流程taskId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contact_id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联系人id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contact_name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联系人姓名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contact_phone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联系人电话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创建会员名字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delivery_instructions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delivery_time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交付日期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details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报价单摘要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enclosure_urls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附件链接集合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external_state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询价报价--外部状态： 1.待提交询价单 2.待提交询价报价单 3.确认报价单 4.报价通过 5.报价不通过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external_task_id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外部工作流流程taskId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full_address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交付地址详情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full_address_id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交付地址ID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inquiry_list_id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询价单编号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inquiry_list_no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询价单编号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inquiry_user_id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询价方用户id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inquiry_user_name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询价方用户名称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interior_state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询价报价--内部状态: 1.待提交审核 2.审核报价单 3.审核报价单2级 4.提交询价单 5.审核通过 6.审核不通过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interior_task_id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内部工作流流程taskId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logistics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询价会员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minimum_order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最小起订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offer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other_require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其他要求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pack_require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包装要求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payment_type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付款方式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phone_code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联系人电话国标码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quotation_as_time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报价截止时间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quotation_no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报价单号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taxes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税费要求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创建人用户名称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voucher_time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单据时间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tra_quote_interior_record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报价单-内部操作记录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audit_opinion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position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product_quotation_id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询价报价单ID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pStyle w:val="2"/>
      </w:pPr>
      <w:bookmarkStart w:id="25" w:name="_Toc1985477500"/>
      <w:r>
        <w:rPr>
          <w:rFonts w:hint="eastAsia"/>
        </w:rPr>
        <w:t>服务部署</w:t>
      </w:r>
      <w:bookmarkEnd w:id="25"/>
    </w:p>
    <w:p>
      <w:pPr>
        <w:pStyle w:val="3"/>
      </w:pPr>
      <w:bookmarkStart w:id="26" w:name="_Toc171951767"/>
      <w:r>
        <w:rPr>
          <w:rFonts w:hint="eastAsia"/>
        </w:rPr>
        <w:t>数据初始化</w:t>
      </w:r>
      <w:bookmarkEnd w:id="26"/>
    </w:p>
    <w:p>
      <w:pPr>
        <w:rPr>
          <w:rFonts w:hint="eastAsia" w:eastAsia="宋体"/>
          <w:lang w:val="en-US" w:eastAsia="zh-Hans"/>
        </w:rPr>
      </w:pPr>
      <w:r>
        <w:rPr>
          <w:rFonts w:hint="default"/>
        </w:rPr>
        <w:t xml:space="preserve">   </w:t>
      </w:r>
      <w:r>
        <w:rPr>
          <w:rFonts w:hint="eastAsia"/>
          <w:lang w:val="en-US" w:eastAsia="zh-Hans"/>
        </w:rPr>
        <w:t>无</w:t>
      </w:r>
    </w:p>
    <w:p>
      <w:pPr>
        <w:pStyle w:val="3"/>
      </w:pPr>
      <w:bookmarkStart w:id="27" w:name="_Toc1627842754"/>
      <w:r>
        <w:rPr>
          <w:rFonts w:hint="eastAsia"/>
        </w:rPr>
        <w:t>服务启动依赖</w:t>
      </w:r>
      <w:bookmarkEnd w:id="27"/>
    </w:p>
    <w:p>
      <w:pPr>
        <w:ind w:left="420"/>
      </w:pPr>
      <w:r>
        <w:rPr>
          <w:rFonts w:hint="eastAsia"/>
        </w:rPr>
        <w:t>无</w:t>
      </w:r>
    </w:p>
    <w:p/>
    <w:p>
      <w:pPr>
        <w:pStyle w:val="2"/>
      </w:pPr>
      <w:bookmarkStart w:id="28" w:name="_Toc211503698"/>
      <w:r>
        <w:rPr>
          <w:rFonts w:hint="eastAsia"/>
        </w:rPr>
        <w:t>附录</w:t>
      </w:r>
      <w:bookmarkEnd w:id="28"/>
    </w:p>
    <w:p/>
    <w:p>
      <w:pPr>
        <w:pStyle w:val="3"/>
      </w:pPr>
      <w:bookmarkStart w:id="29" w:name="_Toc657216501"/>
      <w:r>
        <w:rPr>
          <w:rFonts w:hint="eastAsia"/>
        </w:rPr>
        <w:t>接口返回码</w:t>
      </w:r>
      <w:bookmarkEnd w:id="29"/>
    </w:p>
    <w:tbl>
      <w:tblPr>
        <w:tblStyle w:val="18"/>
        <w:tblpPr w:leftFromText="180" w:rightFromText="180" w:vertAnchor="text" w:horzAnchor="page" w:tblpX="1736" w:tblpY="143"/>
        <w:tblOverlap w:val="never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7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781" w:type="pct"/>
            <w:tcBorders>
              <w:tl2br w:val="nil"/>
              <w:tr2bl w:val="nil"/>
            </w:tcBorders>
            <w:shd w:val="clear" w:color="auto" w:fill="8EAADB" w:themeFill="accent1" w:themeFillTint="9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返回码</w:t>
            </w:r>
          </w:p>
        </w:tc>
        <w:tc>
          <w:tcPr>
            <w:tcW w:w="4218" w:type="pct"/>
            <w:tcBorders>
              <w:tl2br w:val="nil"/>
              <w:tr2bl w:val="nil"/>
            </w:tcBorders>
            <w:shd w:val="clear" w:color="auto" w:fill="8EAADB" w:themeFill="accent1" w:themeFillTint="9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7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58000</w:t>
            </w:r>
          </w:p>
        </w:tc>
        <w:tc>
          <w:tcPr>
            <w:tcW w:w="421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询价单不存在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7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58001</w:t>
            </w:r>
          </w:p>
        </w:tc>
        <w:tc>
          <w:tcPr>
            <w:tcW w:w="421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当前被询价人生命周期未设置允许发布商品询价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7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58002</w:t>
            </w:r>
          </w:p>
        </w:tc>
        <w:tc>
          <w:tcPr>
            <w:tcW w:w="421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部分求购单不在待发布状态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7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58003</w:t>
            </w:r>
          </w:p>
        </w:tc>
        <w:tc>
          <w:tcPr>
            <w:tcW w:w="421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未找到求购单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7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58004</w:t>
            </w:r>
          </w:p>
        </w:tc>
        <w:tc>
          <w:tcPr>
            <w:tcW w:w="421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未找到报价单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7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58005</w:t>
            </w:r>
          </w:p>
        </w:tc>
        <w:tc>
          <w:tcPr>
            <w:tcW w:w="421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求购单不在待报价状态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7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58006</w:t>
            </w:r>
          </w:p>
        </w:tc>
        <w:tc>
          <w:tcPr>
            <w:tcW w:w="421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部分报价单不在待提交审核状态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7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58007</w:t>
            </w:r>
          </w:p>
        </w:tc>
        <w:tc>
          <w:tcPr>
            <w:tcW w:w="421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启动工作流失败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7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58008</w:t>
            </w:r>
          </w:p>
        </w:tc>
        <w:tc>
          <w:tcPr>
            <w:tcW w:w="421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报价单不在对应的状态内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7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58009</w:t>
            </w:r>
          </w:p>
        </w:tc>
        <w:tc>
          <w:tcPr>
            <w:tcW w:w="421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提交审核过的报价单不能删除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7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58010</w:t>
            </w:r>
          </w:p>
        </w:tc>
        <w:tc>
          <w:tcPr>
            <w:tcW w:w="421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当前求购单已报价，请勿重复报价</w:t>
            </w:r>
          </w:p>
        </w:tc>
      </w:tr>
    </w:tbl>
    <w:p/>
    <w:sectPr>
      <w:headerReference r:id="rId11" w:type="default"/>
      <w:footerReference r:id="rId12" w:type="default"/>
      <w:pgSz w:w="11906" w:h="16838"/>
      <w:pgMar w:top="1440" w:right="1800" w:bottom="1440" w:left="1800" w:header="851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Lucida Sans Unicode">
    <w:altName w:val="苹方-简"/>
    <w:panose1 w:val="020B0602030504020204"/>
    <w:charset w:val="00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Hiragino Kaku Gothic Pro">
    <w:panose1 w:val="020B0300000000000000"/>
    <w:charset w:val="80"/>
    <w:family w:val="auto"/>
    <w:pitch w:val="default"/>
    <w:sig w:usb0="00000000" w:usb1="00000000" w:usb2="00000000" w:usb3="00000000" w:csb0="00160000" w:csb1="00000000"/>
  </w:font>
  <w:font w:name="JetBrains Mono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ource Han Sans CN Regular">
    <w:altName w:val="苹方-简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Source Han Sans CN Bold">
    <w:altName w:val="苹方-简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sz w:val="20"/>
      </w:rPr>
    </w:pPr>
    <w:r>
      <w:rPr>
        <w:rFonts w:ascii="Calibri" w:hAnsi="Calibri" w:eastAsia="黑体" w:cs="Calibri"/>
        <w:color w:val="A6A6A6" w:themeColor="background1" w:themeShade="A6"/>
        <w:sz w:val="13"/>
        <w:szCs w:val="12"/>
      </w:rPr>
      <w:t>©</w:t>
    </w:r>
    <w:r>
      <w:rPr>
        <w:rFonts w:ascii="黑体" w:hAnsi="黑体" w:eastAsia="黑体"/>
        <w:color w:val="A6A6A6" w:themeColor="background1" w:themeShade="A6"/>
        <w:sz w:val="13"/>
        <w:szCs w:val="12"/>
      </w:rPr>
      <w:t>版权归数商云所有</w:t>
    </w:r>
    <w:r>
      <w:rPr>
        <w:rFonts w:hint="eastAsia" w:ascii="黑体" w:hAnsi="黑体" w:eastAsia="黑体"/>
        <w:color w:val="A6A6A6" w:themeColor="background1" w:themeShade="A6"/>
        <w:sz w:val="13"/>
        <w:szCs w:val="12"/>
      </w:rPr>
      <w:t>，</w:t>
    </w:r>
    <w:r>
      <w:rPr>
        <w:rFonts w:ascii="黑体" w:hAnsi="黑体" w:eastAsia="黑体"/>
        <w:color w:val="A6A6A6" w:themeColor="background1" w:themeShade="A6"/>
        <w:sz w:val="13"/>
        <w:szCs w:val="12"/>
      </w:rPr>
      <w:t>未经授权不得复制及转载，否则</w:t>
    </w:r>
    <w:r>
      <w:rPr>
        <w:rFonts w:hint="eastAsia" w:ascii="黑体" w:hAnsi="黑体" w:eastAsia="黑体"/>
        <w:color w:val="A6A6A6" w:themeColor="background1" w:themeShade="A6"/>
        <w:sz w:val="13"/>
        <w:szCs w:val="12"/>
      </w:rPr>
      <w:t>承担</w:t>
    </w:r>
    <w:r>
      <w:rPr>
        <w:rFonts w:ascii="黑体" w:hAnsi="黑体" w:eastAsia="黑体"/>
        <w:color w:val="A6A6A6" w:themeColor="background1" w:themeShade="A6"/>
        <w:sz w:val="13"/>
        <w:szCs w:val="12"/>
      </w:rPr>
      <w:t>相关法律责任。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center"/>
    </w:pPr>
  </w:p>
  <w:p>
    <w:pPr>
      <w:pStyle w:val="13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>
        <w:pPr>
          <w:pStyle w:val="13"/>
          <w:jc w:val="center"/>
        </w:pP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PAGE 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  <w:lang w:val="zh-CN"/>
          </w:rPr>
          <w:t>2</w:t>
        </w:r>
        <w:r>
          <w:rPr>
            <w:b/>
            <w:bCs/>
          </w:rPr>
          <w:fldChar w:fldCharType="end"/>
        </w:r>
      </w:p>
    </w:sdtContent>
  </w:sdt>
  <w:p>
    <w:pPr>
      <w:pStyle w:val="13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left"/>
    </w:pPr>
    <w:r>
      <w:drawing>
        <wp:inline distT="0" distB="0" distL="0" distR="0">
          <wp:extent cx="1285875" cy="419100"/>
          <wp:effectExtent l="0" t="0" r="952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9134" cy="459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right"/>
      <w:rPr>
        <w:rFonts w:hint="eastAsia" w:eastAsia="宋体"/>
        <w:b/>
        <w:bCs/>
        <w:lang w:eastAsia="zh-CN"/>
      </w:rPr>
    </w:pPr>
    <w:r>
      <w:rPr>
        <w:rFonts w:hint="eastAsia"/>
        <w:b/>
        <w:bCs/>
      </w:rPr>
      <w:t>瓴犀微服务平台详细设计-</w:t>
    </w:r>
    <w:r>
      <w:rPr>
        <w:rFonts w:hint="eastAsia"/>
        <w:b/>
        <w:bCs/>
        <w:lang w:eastAsia="zh-CN"/>
      </w:rPr>
      <w:t>交易服务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865688"/>
    <w:multiLevelType w:val="singleLevel"/>
    <w:tmpl w:val="BF8656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9CF75A7"/>
    <w:multiLevelType w:val="multilevel"/>
    <w:tmpl w:val="39CF75A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AB32023"/>
    <w:multiLevelType w:val="multilevel"/>
    <w:tmpl w:val="3AB320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2027D42"/>
    <w:multiLevelType w:val="multilevel"/>
    <w:tmpl w:val="42027D4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5BF50007"/>
    <w:multiLevelType w:val="multilevel"/>
    <w:tmpl w:val="5BF50007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8D4"/>
    <w:rsid w:val="00006DB8"/>
    <w:rsid w:val="00013BDE"/>
    <w:rsid w:val="00042260"/>
    <w:rsid w:val="00073063"/>
    <w:rsid w:val="000766F2"/>
    <w:rsid w:val="000A1D8E"/>
    <w:rsid w:val="000D60B9"/>
    <w:rsid w:val="000F0247"/>
    <w:rsid w:val="00186CBC"/>
    <w:rsid w:val="001A09AB"/>
    <w:rsid w:val="001A61B7"/>
    <w:rsid w:val="001C5DA3"/>
    <w:rsid w:val="002131A0"/>
    <w:rsid w:val="002324CF"/>
    <w:rsid w:val="002601CC"/>
    <w:rsid w:val="002630EA"/>
    <w:rsid w:val="00267863"/>
    <w:rsid w:val="002A4A52"/>
    <w:rsid w:val="002C4663"/>
    <w:rsid w:val="002E1A91"/>
    <w:rsid w:val="002F04CA"/>
    <w:rsid w:val="00311B51"/>
    <w:rsid w:val="00347EB7"/>
    <w:rsid w:val="00367265"/>
    <w:rsid w:val="00371972"/>
    <w:rsid w:val="0037347E"/>
    <w:rsid w:val="003860C6"/>
    <w:rsid w:val="00391C3C"/>
    <w:rsid w:val="00394D82"/>
    <w:rsid w:val="003C449C"/>
    <w:rsid w:val="003F2097"/>
    <w:rsid w:val="003F2B9C"/>
    <w:rsid w:val="0042723A"/>
    <w:rsid w:val="00437FAE"/>
    <w:rsid w:val="00441341"/>
    <w:rsid w:val="004A4D97"/>
    <w:rsid w:val="004C2E73"/>
    <w:rsid w:val="004C7B23"/>
    <w:rsid w:val="004D5782"/>
    <w:rsid w:val="004E5254"/>
    <w:rsid w:val="00514207"/>
    <w:rsid w:val="00532473"/>
    <w:rsid w:val="00556B59"/>
    <w:rsid w:val="00562D88"/>
    <w:rsid w:val="00567679"/>
    <w:rsid w:val="00580912"/>
    <w:rsid w:val="005950A5"/>
    <w:rsid w:val="005B64DA"/>
    <w:rsid w:val="005B74D7"/>
    <w:rsid w:val="005C0934"/>
    <w:rsid w:val="005C2223"/>
    <w:rsid w:val="0061376F"/>
    <w:rsid w:val="00614CDF"/>
    <w:rsid w:val="006160EF"/>
    <w:rsid w:val="00620B2A"/>
    <w:rsid w:val="0062171E"/>
    <w:rsid w:val="00630C1E"/>
    <w:rsid w:val="00634445"/>
    <w:rsid w:val="00634F7D"/>
    <w:rsid w:val="0064268A"/>
    <w:rsid w:val="006463BD"/>
    <w:rsid w:val="00666A11"/>
    <w:rsid w:val="00673C3B"/>
    <w:rsid w:val="0067437A"/>
    <w:rsid w:val="006C0BED"/>
    <w:rsid w:val="006C5E4A"/>
    <w:rsid w:val="006D2973"/>
    <w:rsid w:val="006E170B"/>
    <w:rsid w:val="006E52DC"/>
    <w:rsid w:val="00703275"/>
    <w:rsid w:val="00745EDF"/>
    <w:rsid w:val="00751667"/>
    <w:rsid w:val="00775A13"/>
    <w:rsid w:val="00780DA2"/>
    <w:rsid w:val="00787EEC"/>
    <w:rsid w:val="007B0FA4"/>
    <w:rsid w:val="007C1463"/>
    <w:rsid w:val="007C2918"/>
    <w:rsid w:val="007C5E0C"/>
    <w:rsid w:val="007E1CD1"/>
    <w:rsid w:val="007F4DC2"/>
    <w:rsid w:val="008008D4"/>
    <w:rsid w:val="00814958"/>
    <w:rsid w:val="00833A17"/>
    <w:rsid w:val="00866DBC"/>
    <w:rsid w:val="00872776"/>
    <w:rsid w:val="00881EFE"/>
    <w:rsid w:val="00892184"/>
    <w:rsid w:val="008A1A30"/>
    <w:rsid w:val="008B796E"/>
    <w:rsid w:val="008C67DC"/>
    <w:rsid w:val="008F4FAE"/>
    <w:rsid w:val="00917C06"/>
    <w:rsid w:val="0092037A"/>
    <w:rsid w:val="009271D8"/>
    <w:rsid w:val="00933489"/>
    <w:rsid w:val="00937548"/>
    <w:rsid w:val="00940E25"/>
    <w:rsid w:val="00940F78"/>
    <w:rsid w:val="00953FDF"/>
    <w:rsid w:val="00955F4F"/>
    <w:rsid w:val="00956FA9"/>
    <w:rsid w:val="00960817"/>
    <w:rsid w:val="009673E6"/>
    <w:rsid w:val="00971609"/>
    <w:rsid w:val="009C18FD"/>
    <w:rsid w:val="00A54F07"/>
    <w:rsid w:val="00A64B72"/>
    <w:rsid w:val="00A94C47"/>
    <w:rsid w:val="00AD43AB"/>
    <w:rsid w:val="00AD711C"/>
    <w:rsid w:val="00AE0E66"/>
    <w:rsid w:val="00AF166D"/>
    <w:rsid w:val="00AF23E8"/>
    <w:rsid w:val="00B11B54"/>
    <w:rsid w:val="00B41043"/>
    <w:rsid w:val="00B415EC"/>
    <w:rsid w:val="00B67B33"/>
    <w:rsid w:val="00BB3A86"/>
    <w:rsid w:val="00BC015B"/>
    <w:rsid w:val="00C02F01"/>
    <w:rsid w:val="00C06147"/>
    <w:rsid w:val="00C27E43"/>
    <w:rsid w:val="00C37AF5"/>
    <w:rsid w:val="00C65278"/>
    <w:rsid w:val="00C774F0"/>
    <w:rsid w:val="00C7761B"/>
    <w:rsid w:val="00CA06A6"/>
    <w:rsid w:val="00CC7D4B"/>
    <w:rsid w:val="00CE4F2E"/>
    <w:rsid w:val="00D06E4D"/>
    <w:rsid w:val="00D31205"/>
    <w:rsid w:val="00D55B12"/>
    <w:rsid w:val="00D91D29"/>
    <w:rsid w:val="00DA3A53"/>
    <w:rsid w:val="00DD49A5"/>
    <w:rsid w:val="00DF4FB7"/>
    <w:rsid w:val="00E27D59"/>
    <w:rsid w:val="00E40D8C"/>
    <w:rsid w:val="00E410FD"/>
    <w:rsid w:val="00E860A3"/>
    <w:rsid w:val="00E9583A"/>
    <w:rsid w:val="00EB0260"/>
    <w:rsid w:val="00EB1562"/>
    <w:rsid w:val="00EC6FEE"/>
    <w:rsid w:val="00ED03C2"/>
    <w:rsid w:val="00EE0F86"/>
    <w:rsid w:val="00EE4A82"/>
    <w:rsid w:val="00EF048C"/>
    <w:rsid w:val="00F02D52"/>
    <w:rsid w:val="00F06A5F"/>
    <w:rsid w:val="00F10F07"/>
    <w:rsid w:val="00F40DFE"/>
    <w:rsid w:val="00F41555"/>
    <w:rsid w:val="00F44779"/>
    <w:rsid w:val="00F47077"/>
    <w:rsid w:val="00F52489"/>
    <w:rsid w:val="00F810D6"/>
    <w:rsid w:val="00F81314"/>
    <w:rsid w:val="00F8454B"/>
    <w:rsid w:val="00F904D2"/>
    <w:rsid w:val="00F905B2"/>
    <w:rsid w:val="00FC1C2F"/>
    <w:rsid w:val="00FD081D"/>
    <w:rsid w:val="00FD215F"/>
    <w:rsid w:val="00FF5467"/>
    <w:rsid w:val="0FEF70E6"/>
    <w:rsid w:val="13BEB246"/>
    <w:rsid w:val="157F8641"/>
    <w:rsid w:val="17AC6F31"/>
    <w:rsid w:val="1DCFF6D1"/>
    <w:rsid w:val="2A7C186B"/>
    <w:rsid w:val="2FB68886"/>
    <w:rsid w:val="35DF0AC1"/>
    <w:rsid w:val="3C17466F"/>
    <w:rsid w:val="3F5D5A73"/>
    <w:rsid w:val="3FB73326"/>
    <w:rsid w:val="3FEF3904"/>
    <w:rsid w:val="3FF7C1CC"/>
    <w:rsid w:val="55FD07EF"/>
    <w:rsid w:val="567F2A32"/>
    <w:rsid w:val="59BFCD31"/>
    <w:rsid w:val="59F362C7"/>
    <w:rsid w:val="5DEF41BA"/>
    <w:rsid w:val="5FE7D7EA"/>
    <w:rsid w:val="5FE9E2C1"/>
    <w:rsid w:val="61FC9EE7"/>
    <w:rsid w:val="6FF7904B"/>
    <w:rsid w:val="6FFEE6B3"/>
    <w:rsid w:val="71AB5F43"/>
    <w:rsid w:val="757D1BC0"/>
    <w:rsid w:val="757FC452"/>
    <w:rsid w:val="75B7F0D2"/>
    <w:rsid w:val="77FD48A7"/>
    <w:rsid w:val="79BBB9D1"/>
    <w:rsid w:val="7CE3D1F6"/>
    <w:rsid w:val="7D6F453C"/>
    <w:rsid w:val="7EF34230"/>
    <w:rsid w:val="7F7798FE"/>
    <w:rsid w:val="7F95B1C2"/>
    <w:rsid w:val="7FC7580E"/>
    <w:rsid w:val="7FEAEFA0"/>
    <w:rsid w:val="7FF44C35"/>
    <w:rsid w:val="7FFDDE4C"/>
    <w:rsid w:val="8F7970BD"/>
    <w:rsid w:val="97F7651E"/>
    <w:rsid w:val="9F9D8C18"/>
    <w:rsid w:val="AEB80A81"/>
    <w:rsid w:val="AECFA2E9"/>
    <w:rsid w:val="AFBF0209"/>
    <w:rsid w:val="B0EFFD64"/>
    <w:rsid w:val="B3F2BC2A"/>
    <w:rsid w:val="B3FB80DF"/>
    <w:rsid w:val="B3FE3C0D"/>
    <w:rsid w:val="B7CFF115"/>
    <w:rsid w:val="B93D86FA"/>
    <w:rsid w:val="BEB3265D"/>
    <w:rsid w:val="BFAE9A10"/>
    <w:rsid w:val="C7EF2D2B"/>
    <w:rsid w:val="D6FF451D"/>
    <w:rsid w:val="DDE53771"/>
    <w:rsid w:val="DDFED651"/>
    <w:rsid w:val="DF74FEB7"/>
    <w:rsid w:val="DFDE7BB5"/>
    <w:rsid w:val="DFFBB479"/>
    <w:rsid w:val="DFFFFE79"/>
    <w:rsid w:val="E5B53AB7"/>
    <w:rsid w:val="E7EFDA35"/>
    <w:rsid w:val="F0DDC446"/>
    <w:rsid w:val="F67FBB82"/>
    <w:rsid w:val="F78D7615"/>
    <w:rsid w:val="F79F9839"/>
    <w:rsid w:val="F7CFBA14"/>
    <w:rsid w:val="F8CED217"/>
    <w:rsid w:val="F97FE5A9"/>
    <w:rsid w:val="FA472176"/>
    <w:rsid w:val="FB3F4BCE"/>
    <w:rsid w:val="FB6B7EF4"/>
    <w:rsid w:val="FBF581C9"/>
    <w:rsid w:val="FD7D552F"/>
    <w:rsid w:val="FDEF9756"/>
    <w:rsid w:val="FEDFAA4A"/>
    <w:rsid w:val="FFCF7FA3"/>
    <w:rsid w:val="FFD3183D"/>
    <w:rsid w:val="FFFF9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9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Date"/>
    <w:basedOn w:val="1"/>
    <w:next w:val="1"/>
    <w:link w:val="24"/>
    <w:semiHidden/>
    <w:unhideWhenUsed/>
    <w:qFormat/>
    <w:uiPriority w:val="99"/>
    <w:pPr>
      <w:ind w:left="100" w:leftChars="2500"/>
    </w:p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HTML Preformatted"/>
    <w:basedOn w:val="1"/>
    <w:link w:val="3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Cs w:val="24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页眉 字符"/>
    <w:basedOn w:val="20"/>
    <w:link w:val="14"/>
    <w:qFormat/>
    <w:uiPriority w:val="99"/>
    <w:rPr>
      <w:rFonts w:eastAsia="宋体"/>
      <w:sz w:val="18"/>
      <w:szCs w:val="18"/>
    </w:rPr>
  </w:style>
  <w:style w:type="character" w:customStyle="1" w:styleId="23">
    <w:name w:val="页脚 字符"/>
    <w:basedOn w:val="20"/>
    <w:link w:val="13"/>
    <w:qFormat/>
    <w:uiPriority w:val="99"/>
    <w:rPr>
      <w:rFonts w:eastAsia="宋体"/>
      <w:sz w:val="18"/>
      <w:szCs w:val="18"/>
    </w:rPr>
  </w:style>
  <w:style w:type="character" w:customStyle="1" w:styleId="24">
    <w:name w:val="日期 字符"/>
    <w:basedOn w:val="20"/>
    <w:link w:val="12"/>
    <w:semiHidden/>
    <w:qFormat/>
    <w:uiPriority w:val="99"/>
    <w:rPr>
      <w:rFonts w:eastAsia="宋体"/>
      <w:sz w:val="24"/>
    </w:rPr>
  </w:style>
  <w:style w:type="character" w:customStyle="1" w:styleId="25">
    <w:name w:val="标题 1 字符"/>
    <w:basedOn w:val="20"/>
    <w:link w:val="2"/>
    <w:qFormat/>
    <w:uiPriority w:val="9"/>
    <w:rPr>
      <w:rFonts w:eastAsia="宋体"/>
      <w:b/>
      <w:bCs/>
      <w:kern w:val="44"/>
      <w:sz w:val="44"/>
      <w:szCs w:val="44"/>
    </w:rPr>
  </w:style>
  <w:style w:type="paragraph" w:customStyle="1" w:styleId="26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7">
    <w:name w:val="标题 2 字符"/>
    <w:basedOn w:val="2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3 字符"/>
    <w:basedOn w:val="20"/>
    <w:link w:val="4"/>
    <w:qFormat/>
    <w:uiPriority w:val="9"/>
    <w:rPr>
      <w:rFonts w:eastAsia="宋体"/>
      <w:b/>
      <w:bCs/>
      <w:sz w:val="32"/>
      <w:szCs w:val="32"/>
    </w:rPr>
  </w:style>
  <w:style w:type="character" w:customStyle="1" w:styleId="29">
    <w:name w:val="标题 4 字符"/>
    <w:basedOn w:val="20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0">
    <w:name w:val="标题 5 字符"/>
    <w:basedOn w:val="20"/>
    <w:link w:val="6"/>
    <w:semiHidden/>
    <w:qFormat/>
    <w:uiPriority w:val="9"/>
    <w:rPr>
      <w:rFonts w:eastAsia="宋体"/>
      <w:b/>
      <w:bCs/>
      <w:sz w:val="28"/>
      <w:szCs w:val="28"/>
    </w:rPr>
  </w:style>
  <w:style w:type="character" w:customStyle="1" w:styleId="31">
    <w:name w:val="标题 6 字符"/>
    <w:basedOn w:val="20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2">
    <w:name w:val="标题 7 字符"/>
    <w:basedOn w:val="20"/>
    <w:link w:val="8"/>
    <w:semiHidden/>
    <w:qFormat/>
    <w:uiPriority w:val="9"/>
    <w:rPr>
      <w:rFonts w:eastAsia="宋体"/>
      <w:b/>
      <w:bCs/>
      <w:sz w:val="24"/>
      <w:szCs w:val="24"/>
    </w:rPr>
  </w:style>
  <w:style w:type="character" w:customStyle="1" w:styleId="33">
    <w:name w:val="标题 8 字符"/>
    <w:basedOn w:val="20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4">
    <w:name w:val="标题 9 字符"/>
    <w:basedOn w:val="20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styleId="35">
    <w:name w:val="Placeholder Text"/>
    <w:basedOn w:val="20"/>
    <w:semiHidden/>
    <w:qFormat/>
    <w:uiPriority w:val="99"/>
    <w:rPr>
      <w:color w:val="808080"/>
    </w:rPr>
  </w:style>
  <w:style w:type="character" w:customStyle="1" w:styleId="36">
    <w:name w:val="HTML 预设格式 字符"/>
    <w:basedOn w:val="20"/>
    <w:link w:val="17"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styleId="37">
    <w:name w:val="List Paragraph"/>
    <w:basedOn w:val="1"/>
    <w:qFormat/>
    <w:uiPriority w:val="34"/>
    <w:pPr>
      <w:ind w:firstLine="420" w:firstLineChars="200"/>
    </w:pPr>
  </w:style>
  <w:style w:type="paragraph" w:customStyle="1" w:styleId="38">
    <w:name w:val="Table_Medium"/>
    <w:qFormat/>
    <w:uiPriority w:val="0"/>
    <w:pPr>
      <w:spacing w:before="40" w:after="40"/>
    </w:pPr>
    <w:rPr>
      <w:rFonts w:ascii="Lucida Sans Unicode" w:hAnsi="Lucida Sans Unicode" w:eastAsia="Hiragino Kaku Gothic Pro" w:cs="Times New Roman"/>
      <w:color w:val="000000"/>
      <w:sz w:val="18"/>
      <w:lang w:val="en-GB" w:eastAsia="zh-CN" w:bidi="ar-SA"/>
    </w:rPr>
  </w:style>
  <w:style w:type="paragraph" w:customStyle="1" w:styleId="39">
    <w:name w:val="Table_Sm_Heading_Right"/>
    <w:qFormat/>
    <w:uiPriority w:val="0"/>
    <w:pPr>
      <w:keepNext/>
      <w:keepLines/>
      <w:spacing w:before="60" w:after="40"/>
      <w:jc w:val="right"/>
    </w:pPr>
    <w:rPr>
      <w:rFonts w:ascii="Lucida Sans Unicode" w:hAnsi="Lucida Sans Unicode" w:eastAsia="Hiragino Kaku Gothic Pro" w:cs="Times New Roman"/>
      <w:color w:val="000000"/>
      <w:sz w:val="16"/>
      <w:lang w:val="en-GB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5094</Words>
  <Characters>29039</Characters>
  <Lines>241</Lines>
  <Paragraphs>68</Paragraphs>
  <TotalTime>0</TotalTime>
  <ScaleCrop>false</ScaleCrop>
  <LinksUpToDate>false</LinksUpToDate>
  <CharactersWithSpaces>34065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2020-09-27T16:38:00Z</dcterms:created>
  <dc:creator>ning</dc:creator>
  <cp:lastModifiedBy>下雨天</cp:lastModifiedBy>
  <dcterms:modified xsi:type="dcterms:W3CDTF">2024-09-03T17:13:28Z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D82F3EE7B4609F181BBDCE667BC02E70_42</vt:lpwstr>
  </property>
</Properties>
</file>