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Отчет по эмпирическому исследованию эффективности сделок M&amp;A</w:t>
        <w:br/>
        <w:t>в банковском секторе и смежных экосистемах на российском рынке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На основе итоговых файлов каталога результатов</w:t>
      </w:r>
    </w:p>
    <w:p>
      <w:pPr>
        <w:pStyle w:val="Heading1"/>
      </w:pPr>
      <w:r>
        <w:t>1. Цель и логика исследования</w:t>
      </w:r>
    </w:p>
    <w:p>
      <w:r>
        <w:t>Цель исследования состояла в эмпирической оценке эффективности сделок слияний и поглощений в банковском секторе и смежных экосистемах на российском рынке. В качестве базового набора использовался файл ma_deals_AUDIT.xlsx, который был расширен рыночными и фундаментальными показателями из внутридневных и дневных панелей, после чего по каждой сделке были рассчитаны краткосрочные, среднесрочные и долгосрочные эффекты.</w:t>
      </w:r>
    </w:p>
    <w:p>
      <w:r>
        <w:t>Итоговая база содержит 207 сделок. Из них внутридневное покрытие вокруг объявления доступно для 61 сделок, дневной CAR вокруг объявления рассчитан для 125 сделок, дневной CAR вокруг закрытия сделки — для 99 сделок, метрики возможной утечки информации — для 124 сделок, BHAR_ANN_120 — для 137 сделок. Все сопоставления, попавшие в расчеты, являются однозначными; двусмысленные соответствия в финальные метрики не включались.</w:t>
      </w:r>
    </w:p>
    <w:p>
      <w:r>
        <w:t>Ключевые математические параметры исследования соответствуют классической логике событийного анализа. Дневная доходность акции рассчитывалась как простая доходность между соседними торговыми днями, сверхнормальная доходность — через рыночную модель при наличии достаточного оценочного окна (-250; -30), а при недостатке данных использовались модель с корректировкой на рынок и модель с корректировкой на среднюю доходность. Кумулятивная сверхнормальная доходность CAR строилась как сумма сверхнормальных доходностей в стандартных окнах [-1;+1], [-3;+3], [-5;+5] и [-10;+10]. Долгосрочная эффективность измерялась через BHAR на горизонтах 60, 120 и 250 торговых дней. Во внутридневном блоке событие привязывалось к anchor_timestamp_msk, а ожидаемая 15-минутная доходность задавалась как средняя 15-минутная доходность предыдущего торгового дня.</w:t>
      </w:r>
    </w:p>
    <w:p>
      <w:pPr>
        <w:pStyle w:val="Heading1"/>
      </w:pPr>
      <w:r>
        <w:t>2. Исходные данные и построение выборки</w:t>
      </w:r>
    </w:p>
    <w:p>
      <w:r>
        <w:t>Для сопоставления сделок и рыночных панелей использовались source_row_excel, тикер покупателя, название покупателя и объект сделки. В расчетах сохранялись только наблюдения с однозначным соответствием.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Роль таблицы</w:t>
            </w:r>
          </w:p>
        </w:tc>
        <w:tc>
          <w:tcPr>
            <w:tcW w:type="dxa" w:w="3230"/>
          </w:tcPr>
          <w:p>
            <w:r>
              <w:t>Статус сопоставления</w:t>
            </w:r>
          </w:p>
        </w:tc>
        <w:tc>
          <w:tcPr>
            <w:tcW w:type="dxa" w:w="3230"/>
          </w:tcPr>
          <w:p>
            <w:r>
              <w:t>Число наблюдений</w:t>
            </w:r>
          </w:p>
        </w:tc>
      </w:tr>
      <w:tr>
        <w:tc>
          <w:tcPr>
            <w:tcW w:type="dxa" w:w="3230"/>
          </w:tcPr>
          <w:p>
            <w:r>
              <w:t>actualization_daily</w:t>
            </w:r>
          </w:p>
        </w:tc>
        <w:tc>
          <w:tcPr>
            <w:tcW w:type="dxa" w:w="3230"/>
          </w:tcPr>
          <w:p>
            <w:r>
              <w:t>certain</w:t>
            </w:r>
          </w:p>
        </w:tc>
        <w:tc>
          <w:tcPr>
            <w:tcW w:type="dxa" w:w="3230"/>
          </w:tcPr>
          <w:p>
            <w:r>
              <w:t>140</w:t>
            </w:r>
          </w:p>
        </w:tc>
      </w:tr>
      <w:tr>
        <w:tc>
          <w:tcPr>
            <w:tcW w:type="dxa" w:w="3230"/>
          </w:tcPr>
          <w:p>
            <w:r>
              <w:t>announcement_daily</w:t>
            </w:r>
          </w:p>
        </w:tc>
        <w:tc>
          <w:tcPr>
            <w:tcW w:type="dxa" w:w="3230"/>
          </w:tcPr>
          <w:p>
            <w:r>
              <w:t>certain</w:t>
            </w:r>
          </w:p>
        </w:tc>
        <w:tc>
          <w:tcPr>
            <w:tcW w:type="dxa" w:w="3230"/>
          </w:tcPr>
          <w:p>
            <w:r>
              <w:t>141</w:t>
            </w:r>
          </w:p>
        </w:tc>
      </w:tr>
      <w:tr>
        <w:tc>
          <w:tcPr>
            <w:tcW w:type="dxa" w:w="3230"/>
          </w:tcPr>
          <w:p>
            <w:r>
              <w:t>create_daily</w:t>
            </w:r>
          </w:p>
        </w:tc>
        <w:tc>
          <w:tcPr>
            <w:tcW w:type="dxa" w:w="3230"/>
          </w:tcPr>
          <w:p>
            <w:r>
              <w:t>certain</w:t>
            </w:r>
          </w:p>
        </w:tc>
        <w:tc>
          <w:tcPr>
            <w:tcW w:type="dxa" w:w="3230"/>
          </w:tcPr>
          <w:p>
            <w:r>
              <w:t>140</w:t>
            </w:r>
          </w:p>
        </w:tc>
      </w:tr>
      <w:tr>
        <w:tc>
          <w:tcPr>
            <w:tcW w:type="dxa" w:w="3230"/>
          </w:tcPr>
          <w:p>
            <w:r>
              <w:t>intraday</w:t>
            </w:r>
          </w:p>
        </w:tc>
        <w:tc>
          <w:tcPr>
            <w:tcW w:type="dxa" w:w="3230"/>
          </w:tcPr>
          <w:p>
            <w:r>
              <w:t>certain</w:t>
            </w:r>
          </w:p>
        </w:tc>
        <w:tc>
          <w:tcPr>
            <w:tcW w:type="dxa" w:w="3230"/>
          </w:tcPr>
          <w:p>
            <w:r>
              <w:t>61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Показатель покрытия</w:t>
            </w:r>
          </w:p>
        </w:tc>
        <w:tc>
          <w:tcPr>
            <w:tcW w:type="dxa" w:w="4844"/>
          </w:tcPr>
          <w:p>
            <w:r>
              <w:t>Число сделок</w:t>
            </w:r>
          </w:p>
        </w:tc>
      </w:tr>
      <w:tr>
        <w:tc>
          <w:tcPr>
            <w:tcW w:type="dxa" w:w="4844"/>
          </w:tcPr>
          <w:p>
            <w:r>
              <w:t>Полная базовая выборка</w:t>
            </w:r>
          </w:p>
        </w:tc>
        <w:tc>
          <w:tcPr>
            <w:tcW w:type="dxa" w:w="4844"/>
          </w:tcPr>
          <w:p>
            <w:r>
              <w:t>207</w:t>
            </w:r>
          </w:p>
        </w:tc>
      </w:tr>
      <w:tr>
        <w:tc>
          <w:tcPr>
            <w:tcW w:type="dxa" w:w="4844"/>
          </w:tcPr>
          <w:p>
            <w:r>
              <w:t>Внутридневной анализ вокруг объявления</w:t>
            </w:r>
          </w:p>
        </w:tc>
        <w:tc>
          <w:tcPr>
            <w:tcW w:type="dxa" w:w="4844"/>
          </w:tcPr>
          <w:p>
            <w:r>
              <w:t>61</w:t>
            </w:r>
          </w:p>
        </w:tc>
      </w:tr>
      <w:tr>
        <w:tc>
          <w:tcPr>
            <w:tcW w:type="dxa" w:w="4844"/>
          </w:tcPr>
          <w:p>
            <w:r>
              <w:t>Дневной CAR вокруг объявления</w:t>
            </w:r>
          </w:p>
        </w:tc>
        <w:tc>
          <w:tcPr>
            <w:tcW w:type="dxa" w:w="4844"/>
          </w:tcPr>
          <w:p>
            <w:r>
              <w:t>125</w:t>
            </w:r>
          </w:p>
        </w:tc>
      </w:tr>
      <w:tr>
        <w:tc>
          <w:tcPr>
            <w:tcW w:type="dxa" w:w="4844"/>
          </w:tcPr>
          <w:p>
            <w:r>
              <w:t>Дневной CAR вокруг закрытия сделки</w:t>
            </w:r>
          </w:p>
        </w:tc>
        <w:tc>
          <w:tcPr>
            <w:tcW w:type="dxa" w:w="4844"/>
          </w:tcPr>
          <w:p>
            <w:r>
              <w:t>99</w:t>
            </w:r>
          </w:p>
        </w:tc>
      </w:tr>
      <w:tr>
        <w:tc>
          <w:tcPr>
            <w:tcW w:type="dxa" w:w="4844"/>
          </w:tcPr>
          <w:p>
            <w:r>
              <w:t>BHAR вокруг объявления, горизонт 120 дней</w:t>
            </w:r>
          </w:p>
        </w:tc>
        <w:tc>
          <w:tcPr>
            <w:tcW w:type="dxa" w:w="4844"/>
          </w:tcPr>
          <w:p>
            <w:r>
              <w:t>137</w:t>
            </w:r>
          </w:p>
        </w:tc>
      </w:tr>
      <w:tr>
        <w:tc>
          <w:tcPr>
            <w:tcW w:type="dxa" w:w="4844"/>
          </w:tcPr>
          <w:p>
            <w:r>
              <w:t>BHAR вокруг закрытия сделки, горизонт 120 дней</w:t>
            </w:r>
          </w:p>
        </w:tc>
        <w:tc>
          <w:tcPr>
            <w:tcW w:type="dxa" w:w="4844"/>
          </w:tcPr>
          <w:p>
            <w:r>
              <w:t>92</w:t>
            </w:r>
          </w:p>
        </w:tc>
      </w:tr>
      <w:tr>
        <w:tc>
          <w:tcPr>
            <w:tcW w:type="dxa" w:w="4844"/>
          </w:tcPr>
          <w:p>
            <w:r>
              <w:t>Метрики возможной утечки информации</w:t>
            </w:r>
          </w:p>
        </w:tc>
        <w:tc>
          <w:tcPr>
            <w:tcW w:type="dxa" w:w="4844"/>
          </w:tcPr>
          <w:p>
            <w:r>
              <w:t>124</w:t>
            </w:r>
          </w:p>
        </w:tc>
      </w:tr>
      <w:tr>
        <w:tc>
          <w:tcPr>
            <w:tcW w:type="dxa" w:w="4844"/>
          </w:tcPr>
          <w:p>
            <w:r>
              <w:t>CAR вокруг даты первого появления сделки</w:t>
            </w:r>
          </w:p>
        </w:tc>
        <w:tc>
          <w:tcPr>
            <w:tcW w:type="dxa" w:w="4844"/>
          </w:tcPr>
          <w:p>
            <w:r>
              <w:t>124</w:t>
            </w:r>
          </w:p>
        </w:tc>
      </w:tr>
      <w:tr>
        <w:tc>
          <w:tcPr>
            <w:tcW w:type="dxa" w:w="4844"/>
          </w:tcPr>
          <w:p>
            <w:r>
              <w:t>CAR вокруг даты актуализации</w:t>
            </w:r>
          </w:p>
        </w:tc>
        <w:tc>
          <w:tcPr>
            <w:tcW w:type="dxa" w:w="4844"/>
          </w:tcPr>
          <w:p>
            <w:r>
              <w:t>126</w:t>
            </w:r>
          </w:p>
        </w:tc>
      </w:tr>
    </w:tbl>
    <w:p/>
    <w:p>
      <w:pPr>
        <w:pStyle w:val="Heading1"/>
      </w:pPr>
      <w:r>
        <w:t>3. Гипотезы исследования</w:t>
      </w:r>
    </w:p>
    <w:p>
      <w:r>
        <w:t>Всего было рассмотрено 22 гипотезы. По итогам тестирования 2 гипотезы получили прямую статистическую поддержку, 3 — частичную поддержку, 11 не подтвердились, а 6 не удалось корректно протестировать из-за ограничений данных и отсутствия устойчивой классификации некоторых типов сделок.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Гипотеза</w:t>
            </w:r>
          </w:p>
        </w:tc>
        <w:tc>
          <w:tcPr>
            <w:tcW w:type="dxa" w:w="3230"/>
          </w:tcPr>
          <w:p>
            <w:r>
              <w:t>Статус</w:t>
            </w:r>
          </w:p>
        </w:tc>
        <w:tc>
          <w:tcPr>
            <w:tcW w:type="dxa" w:w="3230"/>
          </w:tcPr>
          <w:p>
            <w:r>
              <w:t>Краткий вывод</w:t>
            </w:r>
          </w:p>
        </w:tc>
      </w:tr>
      <w:tr>
        <w:tc>
          <w:tcPr>
            <w:tcW w:type="dxa" w:w="3230"/>
          </w:tcPr>
          <w:p>
            <w:r>
              <w:t>H1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Краткосрочная внутридневная реакция на объявление сделки статистически не подтверждается.</w:t>
            </w:r>
          </w:p>
        </w:tc>
      </w:tr>
      <w:tr>
        <w:tc>
          <w:tcPr>
            <w:tcW w:type="dxa" w:w="3230"/>
          </w:tcPr>
          <w:p>
            <w:r>
              <w:t>H2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Эффект в первые 15 минут имеет положительный знак, но статистически незначим.</w:t>
            </w:r>
          </w:p>
        </w:tc>
      </w:tr>
      <w:tr>
        <w:tc>
          <w:tcPr>
            <w:tcW w:type="dxa" w:w="3230"/>
          </w:tcPr>
          <w:p>
            <w:r>
              <w:t>H3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Поскольку эффект в первый час сам по себе незначим, гипотеза о концентрации основной реакции в первый час не подтверждается.</w:t>
            </w:r>
          </w:p>
        </w:tc>
      </w:tr>
      <w:tr>
        <w:tc>
          <w:tcPr>
            <w:tcW w:type="dxa" w:w="3230"/>
          </w:tcPr>
          <w:p>
            <w:r>
              <w:t>H4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На внутридневном уровне убедительных признаков утечки информации в окне [-60; 0] не обнаружено.</w:t>
            </w:r>
          </w:p>
        </w:tc>
      </w:tr>
      <w:tr>
        <w:tc>
          <w:tcPr>
            <w:tcW w:type="dxa" w:w="3230"/>
          </w:tcPr>
          <w:p>
            <w:r>
              <w:t>H5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Подвыборка релизов вне торговых часов слишком мала, и значимого переноса реакции на следующее открытие не наблюдается.</w:t>
            </w:r>
          </w:p>
        </w:tc>
      </w:tr>
      <w:tr>
        <w:tc>
          <w:tcPr>
            <w:tcW w:type="dxa" w:w="3230"/>
          </w:tcPr>
          <w:p>
            <w:r>
              <w:t>H6</w:t>
            </w:r>
          </w:p>
        </w:tc>
        <w:tc>
          <w:tcPr>
            <w:tcW w:type="dxa" w:w="3230"/>
          </w:tcPr>
          <w:p>
            <w:r>
              <w:t>ЧАСТИЧНО</w:t>
            </w:r>
          </w:p>
        </w:tc>
        <w:tc>
          <w:tcPr>
            <w:tcW w:type="dxa" w:w="3230"/>
          </w:tcPr>
          <w:p>
            <w:r>
              <w:t>Для окон вокруг объявления значимого эффекта нет, однако окно вокруг закрытия сделки [-5; +5] значимо на 5%-ном уровне.</w:t>
            </w:r>
          </w:p>
        </w:tc>
      </w:tr>
      <w:tr>
        <w:tc>
          <w:tcPr>
            <w:tcW w:type="dxa" w:w="3230"/>
          </w:tcPr>
          <w:p>
            <w:r>
              <w:t>H7</w:t>
            </w:r>
          </w:p>
        </w:tc>
        <w:tc>
          <w:tcPr>
            <w:tcW w:type="dxa" w:w="3230"/>
          </w:tcPr>
          <w:p>
            <w:r>
              <w:t>ЧАСТИЧНО</w:t>
            </w:r>
          </w:p>
        </w:tc>
        <w:tc>
          <w:tcPr>
            <w:tcW w:type="dxa" w:w="3230"/>
          </w:tcPr>
          <w:p>
            <w:r>
              <w:t>Средние значения CAR вокруг объявления действительно близки к нулю или слабо положительны, однако это не отдельный значимый положительный эффект, а скорее отсутствие сильной реакции.</w:t>
            </w:r>
          </w:p>
        </w:tc>
      </w:tr>
      <w:tr>
        <w:tc>
          <w:tcPr>
            <w:tcW w:type="dxa" w:w="3230"/>
          </w:tcPr>
          <w:p>
            <w:r>
              <w:t>H8</w:t>
            </w:r>
          </w:p>
        </w:tc>
        <w:tc>
          <w:tcPr>
            <w:tcW w:type="dxa" w:w="3230"/>
          </w:tcPr>
          <w:p>
            <w:r>
              <w:t>ДА</w:t>
            </w:r>
          </w:p>
        </w:tc>
        <w:tc>
          <w:tcPr>
            <w:tcW w:type="dxa" w:w="3230"/>
          </w:tcPr>
          <w:p>
            <w:r>
              <w:t>Это один из наиболее сильных результатов: до официального объявления наблюдается положительный и статистически значимый предварительный рост котировок.</w:t>
            </w:r>
          </w:p>
        </w:tc>
      </w:tr>
      <w:tr>
        <w:tc>
          <w:tcPr>
            <w:tcW w:type="dxa" w:w="3230"/>
          </w:tcPr>
          <w:p>
            <w:r>
              <w:t>H9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Строгий показатель относительного размера сделки не построен, однако доступная прокси-переменная по абсолютной стоимости сделки даёт значимый эффект противоположного знака.</w:t>
            </w:r>
          </w:p>
        </w:tc>
      </w:tr>
      <w:tr>
        <w:tc>
          <w:tcPr>
            <w:tcW w:type="dxa" w:w="3230"/>
          </w:tcPr>
          <w:p>
            <w:r>
              <w:t>H10</w:t>
            </w:r>
          </w:p>
        </w:tc>
        <w:tc>
          <w:tcPr>
            <w:tcW w:type="dxa" w:w="3230"/>
          </w:tcPr>
          <w:p>
            <w:r>
              <w:t>НЕ ПРОТЕСТИРОВАНО</w:t>
            </w:r>
          </w:p>
        </w:tc>
        <w:tc>
          <w:tcPr>
            <w:tcW w:type="dxa" w:w="3230"/>
          </w:tcPr>
          <w:p>
            <w:r>
              <w:t>Для корректного теста необходимо предварительно явно разметить сделки как экосистемные и неэкосистемные.</w:t>
            </w:r>
          </w:p>
        </w:tc>
      </w:tr>
      <w:tr>
        <w:tc>
          <w:tcPr>
            <w:tcW w:type="dxa" w:w="3230"/>
          </w:tcPr>
          <w:p>
            <w:r>
              <w:t>H11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Есть слабый намёк на более высокий CAR вокруг объявления у финансовых объектов сделки, но на 5%-ном уровне результат незначим.</w:t>
            </w:r>
          </w:p>
        </w:tc>
      </w:tr>
      <w:tr>
        <w:tc>
          <w:tcPr>
            <w:tcW w:type="dxa" w:w="3230"/>
          </w:tcPr>
          <w:p>
            <w:r>
              <w:t>H12</w:t>
            </w:r>
          </w:p>
        </w:tc>
        <w:tc>
          <w:tcPr>
            <w:tcW w:type="dxa" w:w="3230"/>
          </w:tcPr>
          <w:p>
            <w:r>
              <w:t>НЕ ПРОТЕСТИРОВАНО</w:t>
            </w:r>
          </w:p>
        </w:tc>
        <w:tc>
          <w:tcPr>
            <w:tcW w:type="dxa" w:w="3230"/>
          </w:tcPr>
          <w:p>
            <w:r>
              <w:t>Статистически корректный тест невозможен из-за недостатка наблюдений по альтернативным типам сделок.</w:t>
            </w:r>
          </w:p>
        </w:tc>
      </w:tr>
      <w:tr>
        <w:tc>
          <w:tcPr>
            <w:tcW w:type="dxa" w:w="3230"/>
          </w:tcPr>
          <w:p>
            <w:r>
              <w:t>H13</w:t>
            </w:r>
          </w:p>
        </w:tc>
        <w:tc>
          <w:tcPr>
            <w:tcW w:type="dxa" w:w="3230"/>
          </w:tcPr>
          <w:p>
            <w:r>
              <w:t>НЕ ПРОТЕСТИРОВАНО</w:t>
            </w:r>
          </w:p>
        </w:tc>
        <w:tc>
          <w:tcPr>
            <w:tcW w:type="dxa" w:w="3230"/>
          </w:tcPr>
          <w:p>
            <w:r>
              <w:t>Для строгого теста нужна отдельная ручная разметка стратегического мотива сделки.</w:t>
            </w:r>
          </w:p>
        </w:tc>
      </w:tr>
      <w:tr>
        <w:tc>
          <w:tcPr>
            <w:tcW w:type="dxa" w:w="3230"/>
          </w:tcPr>
          <w:p>
            <w:r>
              <w:t>H14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Данных в пользу отрицательной связи ROE с рыночной реакцией не выявлено.</w:t>
            </w:r>
          </w:p>
        </w:tc>
      </w:tr>
      <w:tr>
        <w:tc>
          <w:tcPr>
            <w:tcW w:type="dxa" w:w="3230"/>
          </w:tcPr>
          <w:p>
            <w:r>
              <w:t>H15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Наиболее сильный сигнал идёт скорее в противоположную сторону: рыночная капитализация в регрессии CAR вокруг закрытия сделки имеет положительный значимый коэффициент.</w:t>
            </w:r>
          </w:p>
        </w:tc>
      </w:tr>
      <w:tr>
        <w:tc>
          <w:tcPr>
            <w:tcW w:type="dxa" w:w="3230"/>
          </w:tcPr>
          <w:p>
            <w:r>
              <w:t>H16</w:t>
            </w:r>
          </w:p>
        </w:tc>
        <w:tc>
          <w:tcPr>
            <w:tcW w:type="dxa" w:w="3230"/>
          </w:tcPr>
          <w:p>
            <w:r>
              <w:t>ДА</w:t>
            </w:r>
          </w:p>
        </w:tc>
        <w:tc>
          <w:tcPr>
            <w:tcW w:type="dxa" w:w="3230"/>
          </w:tcPr>
          <w:p>
            <w:r>
              <w:t>Влияние фундаментальных характеристик присутствует, но главным образом в регрессии CAR вокруг закрытия сделки, а не вокруг объявления.</w:t>
            </w:r>
          </w:p>
        </w:tc>
      </w:tr>
      <w:tr>
        <w:tc>
          <w:tcPr>
            <w:tcW w:type="dxa" w:w="3230"/>
          </w:tcPr>
          <w:p>
            <w:r>
              <w:t>H17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Для CAR ликвидность незначима, а для BHAR эффект положительный; гипотеза о более слабой реакции у ликвидных бумаг не подтверждается.</w:t>
            </w:r>
          </w:p>
        </w:tc>
      </w:tr>
      <w:tr>
        <w:tc>
          <w:tcPr>
            <w:tcW w:type="dxa" w:w="3230"/>
          </w:tcPr>
          <w:p>
            <w:r>
              <w:t>H18</w:t>
            </w:r>
          </w:p>
        </w:tc>
        <w:tc>
          <w:tcPr>
            <w:tcW w:type="dxa" w:w="3230"/>
          </w:tcPr>
          <w:p>
            <w:r>
              <w:t>ЧАСТИЧНО</w:t>
            </w:r>
          </w:p>
        </w:tc>
        <w:tc>
          <w:tcPr>
            <w:tcW w:type="dxa" w:w="3230"/>
          </w:tcPr>
          <w:p>
            <w:r>
              <w:t>На 5%-ном уровне сильной устойчивой связи нет; наблюдается лишь пограничный отрицательный сигнал.</w:t>
            </w:r>
          </w:p>
        </w:tc>
      </w:tr>
      <w:tr>
        <w:tc>
          <w:tcPr>
            <w:tcW w:type="dxa" w:w="3230"/>
          </w:tcPr>
          <w:p>
            <w:r>
              <w:t>H19</w:t>
            </w:r>
          </w:p>
        </w:tc>
        <w:tc>
          <w:tcPr>
            <w:tcW w:type="dxa" w:w="3230"/>
          </w:tcPr>
          <w:p>
            <w:r>
              <w:t>НЕТ</w:t>
            </w:r>
          </w:p>
        </w:tc>
        <w:tc>
          <w:tcPr>
            <w:tcW w:type="dxa" w:w="3230"/>
          </w:tcPr>
          <w:p>
            <w:r>
              <w:t>Вместо отрицательного постслиянийного дрейфа наблюдается положительный и значимый долгосрочный эффект на горизонтах 60 и 120 дней.</w:t>
            </w:r>
          </w:p>
        </w:tc>
      </w:tr>
      <w:tr>
        <w:tc>
          <w:tcPr>
            <w:tcW w:type="dxa" w:w="3230"/>
          </w:tcPr>
          <w:p>
            <w:r>
              <w:t>H20</w:t>
            </w:r>
          </w:p>
        </w:tc>
        <w:tc>
          <w:tcPr>
            <w:tcW w:type="dxa" w:w="3230"/>
          </w:tcPr>
          <w:p>
            <w:r>
              <w:t>НЕ ПРОТЕСТИРОВАНО</w:t>
            </w:r>
          </w:p>
        </w:tc>
        <w:tc>
          <w:tcPr>
            <w:tcW w:type="dxa" w:w="3230"/>
          </w:tcPr>
          <w:p>
            <w:r>
              <w:t>Без отдельной разметки сделок экосистемного типа гипотеза не может быть протестирована корректно.</w:t>
            </w:r>
          </w:p>
        </w:tc>
      </w:tr>
      <w:tr>
        <w:tc>
          <w:tcPr>
            <w:tcW w:type="dxa" w:w="3230"/>
          </w:tcPr>
          <w:p>
            <w:r>
              <w:t>H21</w:t>
            </w:r>
          </w:p>
        </w:tc>
        <w:tc>
          <w:tcPr>
            <w:tcW w:type="dxa" w:w="3230"/>
          </w:tcPr>
          <w:p>
            <w:r>
              <w:t>НЕ ПРОТЕСТИРОВАНО</w:t>
            </w:r>
          </w:p>
        </w:tc>
        <w:tc>
          <w:tcPr>
            <w:tcW w:type="dxa" w:w="3230"/>
          </w:tcPr>
          <w:p>
            <w:r>
              <w:t>Текущие данные отражают главным образом рыночную реакцию, а не последующую операционную или финансовую эффективность.</w:t>
            </w:r>
          </w:p>
        </w:tc>
      </w:tr>
      <w:tr>
        <w:tc>
          <w:tcPr>
            <w:tcW w:type="dxa" w:w="3230"/>
          </w:tcPr>
          <w:p>
            <w:r>
              <w:t>H22</w:t>
            </w:r>
          </w:p>
        </w:tc>
        <w:tc>
          <w:tcPr>
            <w:tcW w:type="dxa" w:w="3230"/>
          </w:tcPr>
          <w:p>
            <w:r>
              <w:t>НЕ ПРОТЕСТИРОВАНО</w:t>
            </w:r>
          </w:p>
        </w:tc>
        <w:tc>
          <w:tcPr>
            <w:tcW w:type="dxa" w:w="3230"/>
          </w:tcPr>
          <w:p>
            <w:r>
              <w:t>Для строгого теста нужна ручная содержательная классификация стратегического типа сделки.</w:t>
            </w:r>
          </w:p>
        </w:tc>
      </w:tr>
    </w:tbl>
    <w:p/>
    <w:p>
      <w:pPr>
        <w:pStyle w:val="Heading1"/>
      </w:pPr>
      <w:r>
        <w:t>4. Основные эмпирические результаты</w:t>
      </w:r>
    </w:p>
    <w:p>
      <w:r>
        <w:t>Внутридневной анализ вокруг объявления не выявил статистически значимого мгновенного ценового эффекта. Для CAR_ANN_INTRADAY_15M средний эффект составил 0.21% при p=0.1313; для CAR_ANN_INTRADAY_30M — 0.08% при p=0.5302; для CAR_ANN_INTRADAY_1H — 0.05% при p=0.6260. Следовательно, гипотезы о сильной немедленной внутридневной реакции рынка на стадии объявления сделки не подтверждаются.</w:t>
      </w:r>
    </w:p>
    <w:p>
      <w:r>
        <w:t>В дневных окнах вокруг объявления сделки средние значения CAR также оказались близкими к нулю: CAR_ANN_1_1 = 0.04% (p=0.9010), CAR_ANN_3_3 = -0.12% (p=0.8015), CAR_ANN_5_5 = 0.53% (p=0.3887). Таким образом, рынок в среднем не демонстрирует ярко выраженной положительной или отрицательной переоценки именно в день официального объявления.</w:t>
      </w:r>
    </w:p>
    <w:p>
      <w:r>
        <w:t>Наиболее сильный результат получен в блоке анализа возможной утечки информации. Предсобытийный рост котировок в окне [-30;-5] составил 1.82% при p=0.0382, а полный предсобытийный CAR_PRE_ANNOUNCEMENT — 2.29% при p=0.0097. Это означает, что цены акций покупателей в среднем начинали расти еще до официального объявления сделки, что согласуется либо с постепенным встраиванием информации в цену, либо с утечкой информации.</w:t>
      </w:r>
    </w:p>
    <w:p>
      <w:r>
        <w:t>Вокруг даты закрытия сделки обнаружен более выраженный эффект, чем вокруг даты объявления. Так, CAR_CLOSE_5_5 равен 1.30% при p=0.0470. Это единственное стандартное дневное окно CAR, показавшее статистическую значимость на 5%-ном уровне. Следовательно, часть сделок переоценивается рынком не в момент первой новости, а в момент фактического закрытия, когда неопределенность относительно завершения сделки снимается.</w:t>
      </w:r>
    </w:p>
    <w:p>
      <w:r>
        <w:t>Долгосрочные результаты оказались заметно сильнее краткосрочных. BHAR_ANN_60 составил 5.55% при p=0.0003, а BHAR_ANN_120 — 8.30% при p=0.0001. Положительный эффект сохраняется и после закрытия сделки: BHAR_CLOSE_60 = 4.72% при p=0.0010. В совокупности это противоречит гипотезе об отрицательном постслиянийном дрейфе доходности и указывает на положительную среднесрочную переоценку покупателей после M&amp;A.</w:t>
      </w:r>
    </w:p>
    <w:p>
      <w:r>
        <w:t>Регрессионный анализ показал, что CAR вокруг объявления практически не объясняется фундаментальными характеристиками, но зависит от отдельных параметров сделки. В частности, абсолютный размер сделки положительно связан с CAR_ANN_1_1. Для CAR вокруг закрытия сделки картина иная: значимыми оказались P/B, P/E и рыночная капитализация покупателя, что говорит о более сильной роли предсделочных характеристик компании в момент закрытия сделки. В модели announcement_bhar коэффициент при C(deal_status_clean)[T.Оформление] равен -0.154914 при p=&lt; 0.0001. В модели announcement_bhar коэффициент при ANN_LIQUIDITY_60D равен 0.007337 при p=0.0216. В модели announcement_car коэффициент при deal_value_usd_mn_std равен 0.000014 при p=0.0138. В модели announcement_car коэффициент при C(deal_status_clean)[T.Оформление] равен -0.018176 при p=0.0195. В модели completion_bhar коэффициент при C(deal_status_clean)[T.Переговоры] равен 0.169235 при p=0.0148. В модели completion_car коэффициент при C(deal_status_clean)[T.Переговоры] равен 0.043566 при p=&lt; 0.0001.</w:t>
      </w:r>
    </w:p>
    <w:p>
      <w:r>
        <w:t>Групповые тесты показали, что единственным устойчиво значимым категориальным фактором выступает статус сделки. Для статуса сделки различия по CAR_ANN_1_1 статистически значимы (ANOVA p=0.0324), что означает неоднородность рыночной реакции между завершенными, отмененными, находящимися в переговорах и находящимися на стадии оформления сделками.</w:t>
      </w:r>
    </w:p>
    <w:p>
      <w:r>
        <w:t>Анализ отдельных сделок показывает, что значимые агрегированные результаты формируются не случайным набором наблюдений, а устойчивыми кластерами кейсов. Положительный предсобытийный рост котировок прежде всего связан со сделками Сбера по объектам Вестер, Таганрогский мазутный терминал, Бизнес-центр в Омске и Русснефть. Положительный долгосрочный BHAR сильно поддерживается кейсами CardsMobile/Кошелек, Вестер, Mercator, Rambler и Евроцемент. В окне вокруг закрытия сделки высокий вклад дают сделки БАНКОМ, OZON.ru, ПанКлуб и AnyQuery.</w:t>
      </w:r>
    </w:p>
    <w:p>
      <w:pPr>
        <w:pStyle w:val="Heading1"/>
      </w:pPr>
      <w:r>
        <w:t>5. Ключевые статистические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Метрика</w:t>
            </w:r>
          </w:p>
        </w:tc>
        <w:tc>
          <w:tcPr>
            <w:tcW w:type="dxa" w:w="2422"/>
          </w:tcPr>
          <w:p>
            <w:r>
              <w:t>n</w:t>
            </w:r>
          </w:p>
        </w:tc>
        <w:tc>
          <w:tcPr>
            <w:tcW w:type="dxa" w:w="2422"/>
          </w:tcPr>
          <w:p>
            <w:r>
              <w:t>Средний эффект</w:t>
            </w:r>
          </w:p>
        </w:tc>
        <w:tc>
          <w:tcPr>
            <w:tcW w:type="dxa" w:w="2422"/>
          </w:tcPr>
          <w:p>
            <w:r>
              <w:t>p-value</w:t>
            </w:r>
          </w:p>
        </w:tc>
      </w:tr>
      <w:tr>
        <w:tc>
          <w:tcPr>
            <w:tcW w:type="dxa" w:w="2422"/>
          </w:tcPr>
          <w:p>
            <w:r>
              <w:t>BHAR_ANN_120</w:t>
            </w:r>
          </w:p>
        </w:tc>
        <w:tc>
          <w:tcPr>
            <w:tcW w:type="dxa" w:w="2422"/>
          </w:tcPr>
          <w:p>
            <w:r>
              <w:t>137</w:t>
            </w:r>
          </w:p>
        </w:tc>
        <w:tc>
          <w:tcPr>
            <w:tcW w:type="dxa" w:w="2422"/>
          </w:tcPr>
          <w:p>
            <w:r>
              <w:t>8.30%</w:t>
            </w:r>
          </w:p>
        </w:tc>
        <w:tc>
          <w:tcPr>
            <w:tcW w:type="dxa" w:w="2422"/>
          </w:tcPr>
          <w:p>
            <w:r>
              <w:t>0.0001</w:t>
            </w:r>
          </w:p>
        </w:tc>
      </w:tr>
      <w:tr>
        <w:tc>
          <w:tcPr>
            <w:tcW w:type="dxa" w:w="2422"/>
          </w:tcPr>
          <w:p>
            <w:r>
              <w:t>BHAR_ANN_60</w:t>
            </w:r>
          </w:p>
        </w:tc>
        <w:tc>
          <w:tcPr>
            <w:tcW w:type="dxa" w:w="2422"/>
          </w:tcPr>
          <w:p>
            <w:r>
              <w:t>139</w:t>
            </w:r>
          </w:p>
        </w:tc>
        <w:tc>
          <w:tcPr>
            <w:tcW w:type="dxa" w:w="2422"/>
          </w:tcPr>
          <w:p>
            <w:r>
              <w:t>5.55%</w:t>
            </w:r>
          </w:p>
        </w:tc>
        <w:tc>
          <w:tcPr>
            <w:tcW w:type="dxa" w:w="2422"/>
          </w:tcPr>
          <w:p>
            <w:r>
              <w:t>0.0003</w:t>
            </w:r>
          </w:p>
        </w:tc>
      </w:tr>
      <w:tr>
        <w:tc>
          <w:tcPr>
            <w:tcW w:type="dxa" w:w="2422"/>
          </w:tcPr>
          <w:p>
            <w:r>
              <w:t>BHAR_CLOSE_60</w:t>
            </w:r>
          </w:p>
        </w:tc>
        <w:tc>
          <w:tcPr>
            <w:tcW w:type="dxa" w:w="2422"/>
          </w:tcPr>
          <w:p>
            <w:r>
              <w:t>97</w:t>
            </w:r>
          </w:p>
        </w:tc>
        <w:tc>
          <w:tcPr>
            <w:tcW w:type="dxa" w:w="2422"/>
          </w:tcPr>
          <w:p>
            <w:r>
              <w:t>4.72%</w:t>
            </w:r>
          </w:p>
        </w:tc>
        <w:tc>
          <w:tcPr>
            <w:tcW w:type="dxa" w:w="2422"/>
          </w:tcPr>
          <w:p>
            <w:r>
              <w:t>0.0010</w:t>
            </w:r>
          </w:p>
        </w:tc>
      </w:tr>
      <w:tr>
        <w:tc>
          <w:tcPr>
            <w:tcW w:type="dxa" w:w="2422"/>
          </w:tcPr>
          <w:p>
            <w:r>
              <w:t>BHAR_CLOSE_120</w:t>
            </w:r>
          </w:p>
        </w:tc>
        <w:tc>
          <w:tcPr>
            <w:tcW w:type="dxa" w:w="2422"/>
          </w:tcPr>
          <w:p>
            <w:r>
              <w:t>92</w:t>
            </w:r>
          </w:p>
        </w:tc>
        <w:tc>
          <w:tcPr>
            <w:tcW w:type="dxa" w:w="2422"/>
          </w:tcPr>
          <w:p>
            <w:r>
              <w:t>7.34%</w:t>
            </w:r>
          </w:p>
        </w:tc>
        <w:tc>
          <w:tcPr>
            <w:tcW w:type="dxa" w:w="2422"/>
          </w:tcPr>
          <w:p>
            <w:r>
              <w:t>0.0027</w:t>
            </w:r>
          </w:p>
        </w:tc>
      </w:tr>
      <w:tr>
        <w:tc>
          <w:tcPr>
            <w:tcW w:type="dxa" w:w="2422"/>
          </w:tcPr>
          <w:p>
            <w:r>
              <w:t>CAR_PRE_ANNOUNCEMENT</w:t>
            </w:r>
          </w:p>
        </w:tc>
        <w:tc>
          <w:tcPr>
            <w:tcW w:type="dxa" w:w="2422"/>
          </w:tcPr>
          <w:p>
            <w:r>
              <w:t>124</w:t>
            </w:r>
          </w:p>
        </w:tc>
        <w:tc>
          <w:tcPr>
            <w:tcW w:type="dxa" w:w="2422"/>
          </w:tcPr>
          <w:p>
            <w:r>
              <w:t>2.29%</w:t>
            </w:r>
          </w:p>
        </w:tc>
        <w:tc>
          <w:tcPr>
            <w:tcW w:type="dxa" w:w="2422"/>
          </w:tcPr>
          <w:p>
            <w:r>
              <w:t>0.0097</w:t>
            </w:r>
          </w:p>
        </w:tc>
      </w:tr>
      <w:tr>
        <w:tc>
          <w:tcPr>
            <w:tcW w:type="dxa" w:w="2422"/>
          </w:tcPr>
          <w:p>
            <w:r>
              <w:t>RUNUP_PRE_30_5</w:t>
            </w:r>
          </w:p>
        </w:tc>
        <w:tc>
          <w:tcPr>
            <w:tcW w:type="dxa" w:w="2422"/>
          </w:tcPr>
          <w:p>
            <w:r>
              <w:t>124</w:t>
            </w:r>
          </w:p>
        </w:tc>
        <w:tc>
          <w:tcPr>
            <w:tcW w:type="dxa" w:w="2422"/>
          </w:tcPr>
          <w:p>
            <w:r>
              <w:t>1.82%</w:t>
            </w:r>
          </w:p>
        </w:tc>
        <w:tc>
          <w:tcPr>
            <w:tcW w:type="dxa" w:w="2422"/>
          </w:tcPr>
          <w:p>
            <w:r>
              <w:t>0.0382</w:t>
            </w:r>
          </w:p>
        </w:tc>
      </w:tr>
      <w:tr>
        <w:tc>
          <w:tcPr>
            <w:tcW w:type="dxa" w:w="2422"/>
          </w:tcPr>
          <w:p>
            <w:r>
              <w:t>CAR_CLOSE_5_5</w:t>
            </w:r>
          </w:p>
        </w:tc>
        <w:tc>
          <w:tcPr>
            <w:tcW w:type="dxa" w:w="2422"/>
          </w:tcPr>
          <w:p>
            <w:r>
              <w:t>99</w:t>
            </w:r>
          </w:p>
        </w:tc>
        <w:tc>
          <w:tcPr>
            <w:tcW w:type="dxa" w:w="2422"/>
          </w:tcPr>
          <w:p>
            <w:r>
              <w:t>1.30%</w:t>
            </w:r>
          </w:p>
        </w:tc>
        <w:tc>
          <w:tcPr>
            <w:tcW w:type="dxa" w:w="2422"/>
          </w:tcPr>
          <w:p>
            <w:r>
              <w:t>0.0470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Модель</w:t>
            </w:r>
          </w:p>
        </w:tc>
        <w:tc>
          <w:tcPr>
            <w:tcW w:type="dxa" w:w="2422"/>
          </w:tcPr>
          <w:p>
            <w:r>
              <w:t>Переменная</w:t>
            </w:r>
          </w:p>
        </w:tc>
        <w:tc>
          <w:tcPr>
            <w:tcW w:type="dxa" w:w="2422"/>
          </w:tcPr>
          <w:p>
            <w:r>
              <w:t>Коэффициент</w:t>
            </w:r>
          </w:p>
        </w:tc>
        <w:tc>
          <w:tcPr>
            <w:tcW w:type="dxa" w:w="2422"/>
          </w:tcPr>
          <w:p>
            <w:r>
              <w:t>p-value</w:t>
            </w:r>
          </w:p>
        </w:tc>
      </w:tr>
      <w:tr>
        <w:tc>
          <w:tcPr>
            <w:tcW w:type="dxa" w:w="2422"/>
          </w:tcPr>
          <w:p>
            <w:r>
              <w:t>announcement_bhar</w:t>
            </w:r>
          </w:p>
        </w:tc>
        <w:tc>
          <w:tcPr>
            <w:tcW w:type="dxa" w:w="2422"/>
          </w:tcPr>
          <w:p>
            <w:r>
              <w:t>C(deal_status_clean)[T.Оформление]</w:t>
            </w:r>
          </w:p>
        </w:tc>
        <w:tc>
          <w:tcPr>
            <w:tcW w:type="dxa" w:w="2422"/>
          </w:tcPr>
          <w:p>
            <w:r>
              <w:t>-0.154914</w:t>
            </w:r>
          </w:p>
        </w:tc>
        <w:tc>
          <w:tcPr>
            <w:tcW w:type="dxa" w:w="2422"/>
          </w:tcPr>
          <w:p>
            <w:r>
              <w:t>&lt; 0.0001</w:t>
            </w:r>
          </w:p>
        </w:tc>
      </w:tr>
      <w:tr>
        <w:tc>
          <w:tcPr>
            <w:tcW w:type="dxa" w:w="2422"/>
          </w:tcPr>
          <w:p>
            <w:r>
              <w:t>announcement_bhar</w:t>
            </w:r>
          </w:p>
        </w:tc>
        <w:tc>
          <w:tcPr>
            <w:tcW w:type="dxa" w:w="2422"/>
          </w:tcPr>
          <w:p>
            <w:r>
              <w:t>ANN_LIQUIDITY_60D</w:t>
            </w:r>
          </w:p>
        </w:tc>
        <w:tc>
          <w:tcPr>
            <w:tcW w:type="dxa" w:w="2422"/>
          </w:tcPr>
          <w:p>
            <w:r>
              <w:t>0.007337</w:t>
            </w:r>
          </w:p>
        </w:tc>
        <w:tc>
          <w:tcPr>
            <w:tcW w:type="dxa" w:w="2422"/>
          </w:tcPr>
          <w:p>
            <w:r>
              <w:t>0.0216</w:t>
            </w:r>
          </w:p>
        </w:tc>
      </w:tr>
      <w:tr>
        <w:tc>
          <w:tcPr>
            <w:tcW w:type="dxa" w:w="2422"/>
          </w:tcPr>
          <w:p>
            <w:r>
              <w:t>announcement_car</w:t>
            </w:r>
          </w:p>
        </w:tc>
        <w:tc>
          <w:tcPr>
            <w:tcW w:type="dxa" w:w="2422"/>
          </w:tcPr>
          <w:p>
            <w:r>
              <w:t>deal_value_usd_mn_std</w:t>
            </w:r>
          </w:p>
        </w:tc>
        <w:tc>
          <w:tcPr>
            <w:tcW w:type="dxa" w:w="2422"/>
          </w:tcPr>
          <w:p>
            <w:r>
              <w:t>0.000014</w:t>
            </w:r>
          </w:p>
        </w:tc>
        <w:tc>
          <w:tcPr>
            <w:tcW w:type="dxa" w:w="2422"/>
          </w:tcPr>
          <w:p>
            <w:r>
              <w:t>0.0138</w:t>
            </w:r>
          </w:p>
        </w:tc>
      </w:tr>
      <w:tr>
        <w:tc>
          <w:tcPr>
            <w:tcW w:type="dxa" w:w="2422"/>
          </w:tcPr>
          <w:p>
            <w:r>
              <w:t>announcement_car</w:t>
            </w:r>
          </w:p>
        </w:tc>
        <w:tc>
          <w:tcPr>
            <w:tcW w:type="dxa" w:w="2422"/>
          </w:tcPr>
          <w:p>
            <w:r>
              <w:t>C(deal_status_clean)[T.Оформление]</w:t>
            </w:r>
          </w:p>
        </w:tc>
        <w:tc>
          <w:tcPr>
            <w:tcW w:type="dxa" w:w="2422"/>
          </w:tcPr>
          <w:p>
            <w:r>
              <w:t>-0.018176</w:t>
            </w:r>
          </w:p>
        </w:tc>
        <w:tc>
          <w:tcPr>
            <w:tcW w:type="dxa" w:w="2422"/>
          </w:tcPr>
          <w:p>
            <w:r>
              <w:t>0.0195</w:t>
            </w:r>
          </w:p>
        </w:tc>
      </w:tr>
      <w:tr>
        <w:tc>
          <w:tcPr>
            <w:tcW w:type="dxa" w:w="2422"/>
          </w:tcPr>
          <w:p>
            <w:r>
              <w:t>completion_bhar</w:t>
            </w:r>
          </w:p>
        </w:tc>
        <w:tc>
          <w:tcPr>
            <w:tcW w:type="dxa" w:w="2422"/>
          </w:tcPr>
          <w:p>
            <w:r>
              <w:t>C(deal_status_clean)[T.Переговоры]</w:t>
            </w:r>
          </w:p>
        </w:tc>
        <w:tc>
          <w:tcPr>
            <w:tcW w:type="dxa" w:w="2422"/>
          </w:tcPr>
          <w:p>
            <w:r>
              <w:t>0.169235</w:t>
            </w:r>
          </w:p>
        </w:tc>
        <w:tc>
          <w:tcPr>
            <w:tcW w:type="dxa" w:w="2422"/>
          </w:tcPr>
          <w:p>
            <w:r>
              <w:t>0.0148</w:t>
            </w:r>
          </w:p>
        </w:tc>
      </w:tr>
      <w:tr>
        <w:tc>
          <w:tcPr>
            <w:tcW w:type="dxa" w:w="2422"/>
          </w:tcPr>
          <w:p>
            <w:r>
              <w:t>completion_car</w:t>
            </w:r>
          </w:p>
        </w:tc>
        <w:tc>
          <w:tcPr>
            <w:tcW w:type="dxa" w:w="2422"/>
          </w:tcPr>
          <w:p>
            <w:r>
              <w:t>C(deal_status_clean)[T.Переговоры]</w:t>
            </w:r>
          </w:p>
        </w:tc>
        <w:tc>
          <w:tcPr>
            <w:tcW w:type="dxa" w:w="2422"/>
          </w:tcPr>
          <w:p>
            <w:r>
              <w:t>0.043566</w:t>
            </w:r>
          </w:p>
        </w:tc>
        <w:tc>
          <w:tcPr>
            <w:tcW w:type="dxa" w:w="2422"/>
          </w:tcPr>
          <w:p>
            <w:r>
              <w:t>&lt; 0.0001</w:t>
            </w:r>
          </w:p>
        </w:tc>
      </w:tr>
      <w:tr>
        <w:tc>
          <w:tcPr>
            <w:tcW w:type="dxa" w:w="2422"/>
          </w:tcPr>
          <w:p>
            <w:r>
              <w:t>completion_car</w:t>
            </w:r>
          </w:p>
        </w:tc>
        <w:tc>
          <w:tcPr>
            <w:tcW w:type="dxa" w:w="2422"/>
          </w:tcPr>
          <w:p>
            <w:r>
              <w:t>CLOSE_P_E</w:t>
            </w:r>
          </w:p>
        </w:tc>
        <w:tc>
          <w:tcPr>
            <w:tcW w:type="dxa" w:w="2422"/>
          </w:tcPr>
          <w:p>
            <w:r>
              <w:t>0.000711</w:t>
            </w:r>
          </w:p>
        </w:tc>
        <w:tc>
          <w:tcPr>
            <w:tcW w:type="dxa" w:w="2422"/>
          </w:tcPr>
          <w:p>
            <w:r>
              <w:t>0.0131</w:t>
            </w:r>
          </w:p>
        </w:tc>
      </w:tr>
      <w:tr>
        <w:tc>
          <w:tcPr>
            <w:tcW w:type="dxa" w:w="2422"/>
          </w:tcPr>
          <w:p>
            <w:r>
              <w:t>completion_car</w:t>
            </w:r>
          </w:p>
        </w:tc>
        <w:tc>
          <w:tcPr>
            <w:tcW w:type="dxa" w:w="2422"/>
          </w:tcPr>
          <w:p>
            <w:r>
              <w:t>CLOSE_MARKET_CAP</w:t>
            </w:r>
          </w:p>
        </w:tc>
        <w:tc>
          <w:tcPr>
            <w:tcW w:type="dxa" w:w="2422"/>
          </w:tcPr>
          <w:p>
            <w:r>
              <w:t>0.000008</w:t>
            </w:r>
          </w:p>
        </w:tc>
        <w:tc>
          <w:tcPr>
            <w:tcW w:type="dxa" w:w="2422"/>
          </w:tcPr>
          <w:p>
            <w:r>
              <w:t>0.0306</w:t>
            </w:r>
          </w:p>
        </w:tc>
      </w:tr>
      <w:tr>
        <w:tc>
          <w:tcPr>
            <w:tcW w:type="dxa" w:w="2422"/>
          </w:tcPr>
          <w:p>
            <w:r>
              <w:t>completion_car</w:t>
            </w:r>
          </w:p>
        </w:tc>
        <w:tc>
          <w:tcPr>
            <w:tcW w:type="dxa" w:w="2422"/>
          </w:tcPr>
          <w:p>
            <w:r>
              <w:t>CLOSE_P_B</w:t>
            </w:r>
          </w:p>
        </w:tc>
        <w:tc>
          <w:tcPr>
            <w:tcW w:type="dxa" w:w="2422"/>
          </w:tcPr>
          <w:p>
            <w:r>
              <w:t>-0.005480</w:t>
            </w:r>
          </w:p>
        </w:tc>
        <w:tc>
          <w:tcPr>
            <w:tcW w:type="dxa" w:w="2422"/>
          </w:tcPr>
          <w:p>
            <w:r>
              <w:t>0.0320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Групповая переменная</w:t>
            </w:r>
          </w:p>
        </w:tc>
        <w:tc>
          <w:tcPr>
            <w:tcW w:type="dxa" w:w="2422"/>
          </w:tcPr>
          <w:p>
            <w:r>
              <w:t>Метрика</w:t>
            </w:r>
          </w:p>
        </w:tc>
        <w:tc>
          <w:tcPr>
            <w:tcW w:type="dxa" w:w="2422"/>
          </w:tcPr>
          <w:p>
            <w:r>
              <w:t>Тест</w:t>
            </w:r>
          </w:p>
        </w:tc>
        <w:tc>
          <w:tcPr>
            <w:tcW w:type="dxa" w:w="2422"/>
          </w:tcPr>
          <w:p>
            <w:r>
              <w:t>p-value</w:t>
            </w:r>
          </w:p>
        </w:tc>
      </w:tr>
      <w:tr>
        <w:tc>
          <w:tcPr>
            <w:tcW w:type="dxa" w:w="2422"/>
          </w:tcPr>
          <w:p>
            <w:r>
              <w:t>deal_status_clean</w:t>
            </w:r>
          </w:p>
        </w:tc>
        <w:tc>
          <w:tcPr>
            <w:tcW w:type="dxa" w:w="2422"/>
          </w:tcPr>
          <w:p>
            <w:r>
              <w:t>CAR_ANN_1_1</w:t>
            </w:r>
          </w:p>
        </w:tc>
        <w:tc>
          <w:tcPr>
            <w:tcW w:type="dxa" w:w="2422"/>
          </w:tcPr>
          <w:p>
            <w:r>
              <w:t>anova</w:t>
            </w:r>
          </w:p>
        </w:tc>
        <w:tc>
          <w:tcPr>
            <w:tcW w:type="dxa" w:w="2422"/>
          </w:tcPr>
          <w:p>
            <w:r>
              <w:t>0.0324</w:t>
            </w:r>
          </w:p>
        </w:tc>
      </w:tr>
    </w:tbl>
    <w:p/>
    <w:p>
      <w:pPr>
        <w:pStyle w:val="Heading1"/>
      </w:pPr>
      <w:r>
        <w:t>6. Интерпретация графиков</w:t>
      </w:r>
    </w:p>
    <w:p>
      <w:r>
        <w:t>Профиль средней сверхнормальной доходности и накопленной сверхнормальной доходности вокруг даты объявления. График построен по 139 сделкам и 2762 дневным наблюдениям в окне t = -10...+10.</w:t>
      </w:r>
    </w:p>
    <w:p>
      <w:r>
        <w:drawing>
          <wp:inline xmlns:a="http://schemas.openxmlformats.org/drawingml/2006/main" xmlns:pic="http://schemas.openxmlformats.org/drawingml/2006/picture">
            <wp:extent cx="5580000" cy="488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uncement_event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2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Профиль средней сверхнормальной доходности и накопленной сверхнормальной доходности вокруг даты первого появления сделки. График построен по 138 сделкам и 2741 дневным наблюдениям.</w:t>
      </w:r>
    </w:p>
    <w:p>
      <w:r>
        <w:drawing>
          <wp:inline xmlns:a="http://schemas.openxmlformats.org/drawingml/2006/main" xmlns:pic="http://schemas.openxmlformats.org/drawingml/2006/picture">
            <wp:extent cx="5580000" cy="488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event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2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Распределение CAR_ANN_1_1 по 125 сделкам; оно показывает, что вокруг объявления распределение сосредоточено около нуля и не смещено резко в положительную сторону.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ann_1_1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Распределение CAR_CLOSE_1_1 по 99 сделкам; эффект вокруг закрытия сделки выглядит более неоднородным, чем эффект вокруг объявления.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close_1_1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Распределение BHAR_ANN_120 по 137 сделкам; на нем видно, что долгосрочный эффект чаще положителен, чем отрицателен.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ar_ann_120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Ограничения и корректность интерпретации</w:t>
      </w:r>
    </w:p>
    <w:p>
      <w:r>
        <w:t>Ограничения исследования также важны для интерпретации результатов. Во-первых, для внутридневного анализа даты закрытия сделки отсутствует отдельная внутридневная панель, поэтому соответствующие показатели не рассчитывались. Во-вторых, для 65 сделок дневные панели не покрывали дату закрытия, поэтому анализ вокруг закрытия сделки был доступен не для всей выборки. В-третьих, гипотезы об экосистемных сделках, сделках в рамках основного бизнеса и диверсификационных мотивах не были корректно протестированы, поскольку в текущих исходных данных отсутствует устойчивая содержательная разметка этих типов сделок.</w:t>
      </w:r>
    </w:p>
    <w:p>
      <w:pPr>
        <w:pStyle w:val="Heading1"/>
      </w:pPr>
      <w:r>
        <w:t>8. Итоговые выводы</w:t>
      </w:r>
    </w:p>
    <w:p>
      <w:r>
        <w:t>В целом исследование показывает, что российский рынок не демонстрирует ярко выраженной мгновенной переоценки акций покупателей в момент объявления M&amp;A-сделок, однако фиксирует статистически значимый предсобытийный рост котировок и положительный среднесрочный долгосрочный эффект после стадии объявления и стадии закрытия сделки. Это означает, что экономическая эффективность сделок проявляется не столько в момент новостного шока, сколько в более длинном окне, а также частично закладывается в цены еще до официального объявления.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