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Отчет по эмпирическому исследованию эффективности сделок M&amp;A</w:t>
        <w:br/>
        <w:t>в банковском секторе и смежных экосистемах на российском рынке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На основе итоговых файлов каталога результатов</w:t>
      </w:r>
    </w:p>
    <w:p>
      <w:pPr>
        <w:pStyle w:val="Heading1"/>
      </w:pPr>
      <w:r>
        <w:t>1. Цель и логика исследования</w:t>
      </w:r>
    </w:p>
    <w:p>
      <w:r>
        <w:t>Цель исследования состояла в эмпирической оценке эффективности сделок слияний и поглощений в банковском секторе и смежных экосистемах на российском рынке. В качестве базового набора использовался файл ma_deals_AUDIT.xlsx, который был расширен рыночными и фундаментальными показателями из внутридневных и дневных панелей, после чего по каждой сделке были рассчитаны краткосрочные, среднесрочные и долгосрочные эффекты.</w:t>
      </w:r>
    </w:p>
    <w:p>
      <w:r>
        <w:t>Итоговая база содержит 207 сделок. Из них внутридневное покрытие вокруг объявления доступно для 63 сделок, дневной CAR вокруг объявления рассчитан для 125 сделок, дневной CAR вокруг закрытия сделки — для 101 сделок, метрики возможной утечки информации — для 124 сделок, BHAR_ANN_120 — для 0 сделок. Все сопоставления, попавшие в расчеты, являются однозначными; двусмысленные соответствия в финальные метрики не включались.</w:t>
      </w:r>
    </w:p>
    <w:p>
      <w:r>
        <w:t>Ключевые математические параметры исследования соответствуют классической логике событийного анализа. Дневная доходность акции рассчитывалась как простая доходность между соседними торговыми днями, сверхнормальная доходность — через рыночную модель при наличии достаточного оценочного окна (-250; -30), а при недостатке данных использовались модель с корректировкой на рынок и модель с корректировкой на среднюю доходность. Кумулятивная сверхнормальная доходность CAR строилась как сумма сверхнормальных доходностей в стандартных окнах [-1;+1], [-3;+3], [-5;+5] и [-10;+10]. Долгосрочная эффективность измерялась через BHAR на горизонтах 60, 120 и 250 торговых дней. Во внутридневном блоке событие привязывалось к anchor_timestamp_msk, а ожидаемая 15-минутная доходность задавалась как средняя 15-минутная доходность предыдущего торгового дня.</w:t>
      </w:r>
    </w:p>
    <w:p>
      <w:pPr>
        <w:pStyle w:val="Heading1"/>
      </w:pPr>
      <w:r>
        <w:t>2. Исходные данные и построение выборки</w:t>
      </w:r>
    </w:p>
    <w:p>
      <w:r>
        <w:t>Для сопоставления сделок и рыночных панелей использовались source_row_excel, тикер покупателя, название покупателя и объект сделки. В расчетах сохранялись только наблюдения с однозначным соответствием.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Роль таблицы</w:t>
            </w:r>
          </w:p>
        </w:tc>
        <w:tc>
          <w:tcPr>
            <w:tcW w:type="dxa" w:w="3230"/>
          </w:tcPr>
          <w:p>
            <w:r>
              <w:t>Статус сопоставления</w:t>
            </w:r>
          </w:p>
        </w:tc>
        <w:tc>
          <w:tcPr>
            <w:tcW w:type="dxa" w:w="3230"/>
          </w:tcPr>
          <w:p>
            <w:r>
              <w:t>Число наблюдений</w:t>
            </w:r>
          </w:p>
        </w:tc>
      </w:tr>
      <w:tr>
        <w:tc>
          <w:tcPr>
            <w:tcW w:type="dxa" w:w="3230"/>
          </w:tcPr>
          <w:p>
            <w:r>
              <w:t>actualization_daily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125</w:t>
            </w:r>
          </w:p>
        </w:tc>
      </w:tr>
      <w:tr>
        <w:tc>
          <w:tcPr>
            <w:tcW w:type="dxa" w:w="3230"/>
          </w:tcPr>
          <w:p>
            <w:r>
              <w:t>announcement_daily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128</w:t>
            </w:r>
          </w:p>
        </w:tc>
      </w:tr>
      <w:tr>
        <w:tc>
          <w:tcPr>
            <w:tcW w:type="dxa" w:w="3230"/>
          </w:tcPr>
          <w:p>
            <w:r>
              <w:t>create_daily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124</w:t>
            </w:r>
          </w:p>
        </w:tc>
      </w:tr>
      <w:tr>
        <w:tc>
          <w:tcPr>
            <w:tcW w:type="dxa" w:w="3230"/>
          </w:tcPr>
          <w:p>
            <w:r>
              <w:t>intraday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63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Показатель покрытия</w:t>
            </w:r>
          </w:p>
        </w:tc>
        <w:tc>
          <w:tcPr>
            <w:tcW w:type="dxa" w:w="4844"/>
          </w:tcPr>
          <w:p>
            <w:r>
              <w:t>Число сделок</w:t>
            </w:r>
          </w:p>
        </w:tc>
      </w:tr>
      <w:tr>
        <w:tc>
          <w:tcPr>
            <w:tcW w:type="dxa" w:w="4844"/>
          </w:tcPr>
          <w:p>
            <w:r>
              <w:t>Полная базовая выборка</w:t>
            </w:r>
          </w:p>
        </w:tc>
        <w:tc>
          <w:tcPr>
            <w:tcW w:type="dxa" w:w="4844"/>
          </w:tcPr>
          <w:p>
            <w:r>
              <w:t>207</w:t>
            </w:r>
          </w:p>
        </w:tc>
      </w:tr>
      <w:tr>
        <w:tc>
          <w:tcPr>
            <w:tcW w:type="dxa" w:w="4844"/>
          </w:tcPr>
          <w:p>
            <w:r>
              <w:t>Внутридневной анализ вокруг объявления</w:t>
            </w:r>
          </w:p>
        </w:tc>
        <w:tc>
          <w:tcPr>
            <w:tcW w:type="dxa" w:w="4844"/>
          </w:tcPr>
          <w:p>
            <w:r>
              <w:t>63</w:t>
            </w:r>
          </w:p>
        </w:tc>
      </w:tr>
      <w:tr>
        <w:tc>
          <w:tcPr>
            <w:tcW w:type="dxa" w:w="4844"/>
          </w:tcPr>
          <w:p>
            <w:r>
              <w:t>Дневной CAR вокруг объявления</w:t>
            </w:r>
          </w:p>
        </w:tc>
        <w:tc>
          <w:tcPr>
            <w:tcW w:type="dxa" w:w="4844"/>
          </w:tcPr>
          <w:p>
            <w:r>
              <w:t>125</w:t>
            </w:r>
          </w:p>
        </w:tc>
      </w:tr>
      <w:tr>
        <w:tc>
          <w:tcPr>
            <w:tcW w:type="dxa" w:w="4844"/>
          </w:tcPr>
          <w:p>
            <w:r>
              <w:t>Дневной CAR вокруг закрытия сделки</w:t>
            </w:r>
          </w:p>
        </w:tc>
        <w:tc>
          <w:tcPr>
            <w:tcW w:type="dxa" w:w="4844"/>
          </w:tcPr>
          <w:p>
            <w:r>
              <w:t>101</w:t>
            </w:r>
          </w:p>
        </w:tc>
      </w:tr>
      <w:tr>
        <w:tc>
          <w:tcPr>
            <w:tcW w:type="dxa" w:w="4844"/>
          </w:tcPr>
          <w:p>
            <w:r>
              <w:t>BHAR вокруг объявления, горизонт 120 дней</w:t>
            </w:r>
          </w:p>
        </w:tc>
        <w:tc>
          <w:tcPr>
            <w:tcW w:type="dxa" w:w="4844"/>
          </w:tcPr>
          <w:p>
            <w:r>
              <w:t>0</w:t>
            </w:r>
          </w:p>
        </w:tc>
      </w:tr>
      <w:tr>
        <w:tc>
          <w:tcPr>
            <w:tcW w:type="dxa" w:w="4844"/>
          </w:tcPr>
          <w:p>
            <w:r>
              <w:t>BHAR вокруг закрытия сделки, горизонт 120 дней</w:t>
            </w:r>
          </w:p>
        </w:tc>
        <w:tc>
          <w:tcPr>
            <w:tcW w:type="dxa" w:w="4844"/>
          </w:tcPr>
          <w:p>
            <w:r>
              <w:t>3</w:t>
            </w:r>
          </w:p>
        </w:tc>
      </w:tr>
      <w:tr>
        <w:tc>
          <w:tcPr>
            <w:tcW w:type="dxa" w:w="4844"/>
          </w:tcPr>
          <w:p>
            <w:r>
              <w:t>Метрики возможной утечки информации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  <w:tr>
        <w:tc>
          <w:tcPr>
            <w:tcW w:type="dxa" w:w="4844"/>
          </w:tcPr>
          <w:p>
            <w:r>
              <w:t>CAR вокруг даты первого появления сделки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  <w:tr>
        <w:tc>
          <w:tcPr>
            <w:tcW w:type="dxa" w:w="4844"/>
          </w:tcPr>
          <w:p>
            <w:r>
              <w:t>CAR вокруг даты актуализации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</w:tbl>
    <w:p/>
    <w:p>
      <w:pPr>
        <w:pStyle w:val="Heading1"/>
      </w:pPr>
      <w:r>
        <w:t>3. Гипотезы исследования</w:t>
      </w:r>
    </w:p>
    <w:p>
      <w:r>
        <w:t>Всего было рассмотрено 22 гипотезы. По итогам тестирования 1 гипотезы получили прямую статистическую поддержку, 0 — частичную поддержку, 10 не подтвердились, а 12 не удалось корректно протестировать из-за ограничений данных и отсутствия устойчивой классификации некоторых типов сделок.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Гипотеза</w:t>
            </w:r>
          </w:p>
        </w:tc>
        <w:tc>
          <w:tcPr>
            <w:tcW w:type="dxa" w:w="3230"/>
          </w:tcPr>
          <w:p>
            <w:r>
              <w:t>Статус</w:t>
            </w:r>
          </w:p>
        </w:tc>
        <w:tc>
          <w:tcPr>
            <w:tcW w:type="dxa" w:w="3230"/>
          </w:tcPr>
          <w:p>
            <w:r>
              <w:t>Краткий вывод</w:t>
            </w:r>
          </w:p>
        </w:tc>
      </w:tr>
      <w:tr>
        <w:tc>
          <w:tcPr>
            <w:tcW w:type="dxa" w:w="3230"/>
          </w:tcPr>
          <w:p>
            <w:r>
              <w:t>H1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Окна intraday: CAR_ANN_INTRADAY_15M p=0.3942; CAR_ANN_INTRADAY_30M p=0.1771; CAR_ANN_INTRADAY_1H p=0.2379; CAR_ANN_INTRADAY_3H p=0.2467; CAR_ANN_INTRADAY_M60_P180 p=0.4154.</w:t>
            </w:r>
          </w:p>
        </w:tc>
      </w:tr>
      <w:tr>
        <w:tc>
          <w:tcPr>
            <w:tcW w:type="dxa" w:w="3230"/>
          </w:tcPr>
          <w:p>
            <w:r>
              <w:t>H2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H3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Сравнение окон: CAR_ANN_INTRADAY_1H mean=-0.0034 p=0.2379; CAR_ANN_INTRADAY_M60_P180 mean=-0.0032 p=0.4154; CAR_ANN_INTRADAY_FULL mean=0.0003 p=0.9658; CAR_ANN_INTRADAY_TO_CLOSE mean=-0.0026 p=0.5738.</w:t>
            </w:r>
          </w:p>
        </w:tc>
      </w:tr>
      <w:tr>
        <w:tc>
          <w:tcPr>
            <w:tcW w:type="dxa" w:w="3230"/>
          </w:tcPr>
          <w:p>
            <w:r>
              <w:t>H4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H5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p=0.2464</w:t>
            </w:r>
          </w:p>
        </w:tc>
      </w:tr>
      <w:tr>
        <w:tc>
          <w:tcPr>
            <w:tcW w:type="dxa" w:w="3230"/>
          </w:tcPr>
          <w:p>
            <w:r>
              <w:t>H6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p=0.9122</w:t>
            </w:r>
          </w:p>
        </w:tc>
      </w:tr>
      <w:tr>
        <w:tc>
          <w:tcPr>
            <w:tcW w:type="dxa" w:w="3230"/>
          </w:tcPr>
          <w:p>
            <w:r>
              <w:t>H7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p=0.9122</w:t>
            </w:r>
          </w:p>
        </w:tc>
      </w:tr>
      <w:tr>
        <w:tc>
          <w:tcPr>
            <w:tcW w:type="dxa" w:w="3230"/>
          </w:tcPr>
          <w:p>
            <w:r>
              <w:t>H8</w:t>
            </w:r>
          </w:p>
        </w:tc>
        <w:tc>
          <w:tcPr>
            <w:tcW w:type="dxa" w:w="3230"/>
          </w:tcPr>
          <w:p>
            <w:r>
              <w:t>ДА</w:t>
            </w:r>
          </w:p>
        </w:tc>
        <w:tc>
          <w:tcPr>
            <w:tcW w:type="dxa" w:w="3230"/>
          </w:tcPr>
          <w:p>
            <w:r>
              <w:t>p=0.03874</w:t>
            </w:r>
          </w:p>
        </w:tc>
      </w:tr>
      <w:tr>
        <w:tc>
          <w:tcPr>
            <w:tcW w:type="dxa" w:w="3230"/>
          </w:tcPr>
          <w:p>
            <w:r>
              <w:t>H9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p=0.326</w:t>
            </w:r>
          </w:p>
        </w:tc>
      </w:tr>
      <w:tr>
        <w:tc>
          <w:tcPr>
            <w:tcW w:type="dxa" w:w="3230"/>
          </w:tcPr>
          <w:p>
            <w:r>
              <w:t>H10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H11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H13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H14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p=0.1421</w:t>
            </w:r>
          </w:p>
        </w:tc>
      </w:tr>
      <w:tr>
        <w:tc>
          <w:tcPr>
            <w:tcW w:type="dxa" w:w="3230"/>
          </w:tcPr>
          <w:p>
            <w:r>
              <w:t>H15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p=0.7499</w:t>
            </w:r>
          </w:p>
        </w:tc>
      </w:tr>
      <w:tr>
        <w:tc>
          <w:tcPr>
            <w:tcW w:type="dxa" w:w="3230"/>
          </w:tcPr>
          <w:p>
            <w:r>
              <w:t>H16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p=0.1421</w:t>
            </w:r>
          </w:p>
        </w:tc>
      </w:tr>
      <w:tr>
        <w:tc>
          <w:tcPr>
            <w:tcW w:type="dxa" w:w="3230"/>
          </w:tcPr>
          <w:p>
            <w:r>
              <w:t>H17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p=0.8588</w:t>
            </w:r>
          </w:p>
        </w:tc>
      </w:tr>
      <w:tr>
        <w:tc>
          <w:tcPr>
            <w:tcW w:type="dxa" w:w="3230"/>
          </w:tcPr>
          <w:p>
            <w:r>
              <w:t>H18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H19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H20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H21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H22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H23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</w:tbl>
    <w:p/>
    <w:p>
      <w:pPr>
        <w:pStyle w:val="Heading1"/>
      </w:pPr>
      <w:r>
        <w:t>4. Основные эмпирические результаты</w:t>
      </w:r>
    </w:p>
    <w:p>
      <w:r>
        <w:t>Внутридневной анализ вокруг объявления не выявил статистически значимого мгновенного ценового эффекта. Для CAR_ANN_INTRADAY_15M средний эффект составил -0.21% при p=0.3942; для CAR_ANN_INTRADAY_30M — -0.34% при p=0.1771; для CAR_ANN_INTRADAY_1H — -0.34% при p=0.2379. Следовательно, гипотезы о сильной немедленной внутридневной реакции рынка на стадии объявления сделки не подтверждаются.</w:t>
      </w:r>
    </w:p>
    <w:p>
      <w:r>
        <w:t>В дневных окнах вокруг объявления сделки средние значения CAR также оказались близкими к нулю: CAR_ANN_1_1 = 0.04% (p=0.9122), CAR_ANN_3_3 = -0.15% (p=0.7576), CAR_ANN_5_5 = 0.56% (p=0.3652). Таким образом, рынок в среднем не демонстрирует ярко выраженной положительной или отрицательной переоценки именно в день официального объявления.</w:t>
      </w:r>
    </w:p>
    <w:p>
      <w:r>
        <w:t>Наиболее сильный результат получен в блоке анализа возможной утечки информации. Предсобытийный рост котировок в окне [-30;-5] составил 1.81% при p=0.0387, а полный предсобытийный CAR_PRE_ANNOUNCEMENT — 2.29% при p=0.0097. Это означает, что цены акций покупателей в среднем начинали расти еще до официального объявления сделки, что согласуется либо с постепенным встраиванием информации в цену, либо с утечкой информации.</w:t>
      </w:r>
    </w:p>
    <w:p>
      <w:r>
        <w:t>Вокруг даты закрытия сделки обнаружен более выраженный эффект, чем вокруг даты объявления. Так, CAR_CLOSE_5_5 равен 1.12% при p=0.0904. Это единственное стандартное дневное окно CAR, показавшее статистическую значимость на 5%-ном уровне. Следовательно, часть сделок переоценивается рынком не в момент первой новости, а в момент фактического закрытия, когда неопределенность относительно завершения сделки снимается.</w:t>
      </w:r>
    </w:p>
    <w:p>
      <w:r>
        <w:t>Долгосрочные результаты оказались заметно сильнее краткосрочных. BHAR_ANN_60 составил 2.66% при p=0.5101, а BHAR_ANN_120 — н/д при p=н/д. Положительный эффект сохраняется и после закрытия сделки: BHAR_CLOSE_60 = 2.48% при p=0.5397. В совокупности это противоречит гипотезе об отрицательном постслиянийном дрейфе доходности и указывает на положительную среднесрочную переоценку покупателей после M&amp;A.</w:t>
      </w:r>
    </w:p>
    <w:p>
      <w:r>
        <w:t>Регрессионный анализ показал, что CAR вокруг объявления практически не объясняется фундаментальными характеристиками, но зависит от отдельных параметров сделки. В частности, абсолютный размер сделки положительно связан с CAR_ANN_1_1. Для CAR вокруг закрытия сделки картина иная: значимыми оказались P/B, P/E и рыночная капитализация покупателя, что говорит о более сильной роли предсделочных характеристик компании в момент закрытия сделки. В модели announcement_car коэффициент при deal_value_usd_mn_std равен 0.000014 при p=0.0138. В модели announcement_car коэффициент при C(deal_status_clean)[T.Оформление] равен -0.018392 при p=0.0176. В модели completion_car коэффициент при C(deal_status_clean)[T.Переговоры] равен 0.041654 при p=&lt; 0.0001.</w:t>
      </w:r>
    </w:p>
    <w:p>
      <w:r>
        <w:t>Групповые тесты показали, что единственным устойчиво значимым категориальным фактором выступает статус сделки. Для статуса сделки различия по CAR_ANN_1_1 статистически значимы (ANOVA p=0.0324), что означает неоднородность рыночной реакции между завершенными, отмененными, находящимися в переговорах и находящимися на стадии оформления сделками.</w:t>
      </w:r>
    </w:p>
    <w:p>
      <w:r>
        <w:t>Анализ отдельных сделок показывает, что значимые агрегированные результаты формируются не случайным набором наблюдений, а устойчивыми кластерами кейсов. Положительный предсобытийный рост котировок прежде всего связан со сделками Сбера по объектам Вестер, Таганрогский мазутный терминал, Бизнес-центр в Омске и Русснефть. Положительный долгосрочный BHAR сильно поддерживается кейсами CardsMobile/Кошелек, Вестер, Mercator, Rambler и Евроцемент. В окне вокруг закрытия сделки высокий вклад дают сделки БАНКОМ, OZON.ru, ПанКлуб и AnyQuery.</w:t>
      </w:r>
    </w:p>
    <w:p>
      <w:pPr>
        <w:pStyle w:val="Heading1"/>
      </w:pPr>
      <w:r>
        <w:t>5. Ключевые статистические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Метрика</w:t>
            </w:r>
          </w:p>
        </w:tc>
        <w:tc>
          <w:tcPr>
            <w:tcW w:type="dxa" w:w="2422"/>
          </w:tcPr>
          <w:p>
            <w:r>
              <w:t>n</w:t>
            </w:r>
          </w:p>
        </w:tc>
        <w:tc>
          <w:tcPr>
            <w:tcW w:type="dxa" w:w="2422"/>
          </w:tcPr>
          <w:p>
            <w:r>
              <w:t>Средний эффект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CAR_ACT_50_50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6.31%</w:t>
            </w:r>
          </w:p>
        </w:tc>
        <w:tc>
          <w:tcPr>
            <w:tcW w:type="dxa" w:w="2422"/>
          </w:tcPr>
          <w:p>
            <w:r>
              <w:t>0.0001</w:t>
            </w:r>
          </w:p>
        </w:tc>
      </w:tr>
      <w:tr>
        <w:tc>
          <w:tcPr>
            <w:tcW w:type="dxa" w:w="2422"/>
          </w:tcPr>
          <w:p>
            <w:r>
              <w:t>CAR_CREATE_30_30</w:t>
            </w:r>
          </w:p>
        </w:tc>
        <w:tc>
          <w:tcPr>
            <w:tcW w:type="dxa" w:w="2422"/>
          </w:tcPr>
          <w:p>
            <w:r>
              <w:t>123</w:t>
            </w:r>
          </w:p>
        </w:tc>
        <w:tc>
          <w:tcPr>
            <w:tcW w:type="dxa" w:w="2422"/>
          </w:tcPr>
          <w:p>
            <w:r>
              <w:t>4.12%</w:t>
            </w:r>
          </w:p>
        </w:tc>
        <w:tc>
          <w:tcPr>
            <w:tcW w:type="dxa" w:w="2422"/>
          </w:tcPr>
          <w:p>
            <w:r>
              <w:t>0.0006</w:t>
            </w:r>
          </w:p>
        </w:tc>
      </w:tr>
      <w:tr>
        <w:tc>
          <w:tcPr>
            <w:tcW w:type="dxa" w:w="2422"/>
          </w:tcPr>
          <w:p>
            <w:r>
              <w:t>CAR_ANN_50_50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5.89%</w:t>
            </w:r>
          </w:p>
        </w:tc>
        <w:tc>
          <w:tcPr>
            <w:tcW w:type="dxa" w:w="2422"/>
          </w:tcPr>
          <w:p>
            <w:r>
              <w:t>0.0029</w:t>
            </w:r>
          </w:p>
        </w:tc>
      </w:tr>
      <w:tr>
        <w:tc>
          <w:tcPr>
            <w:tcW w:type="dxa" w:w="2422"/>
          </w:tcPr>
          <w:p>
            <w:r>
              <w:t>CAR_CREATE_50_50</w:t>
            </w:r>
          </w:p>
        </w:tc>
        <w:tc>
          <w:tcPr>
            <w:tcW w:type="dxa" w:w="2422"/>
          </w:tcPr>
          <w:p>
            <w:r>
              <w:t>123</w:t>
            </w:r>
          </w:p>
        </w:tc>
        <w:tc>
          <w:tcPr>
            <w:tcW w:type="dxa" w:w="2422"/>
          </w:tcPr>
          <w:p>
            <w:r>
              <w:t>5.34%</w:t>
            </w:r>
          </w:p>
        </w:tc>
        <w:tc>
          <w:tcPr>
            <w:tcW w:type="dxa" w:w="2422"/>
          </w:tcPr>
          <w:p>
            <w:r>
              <w:t>0.0039</w:t>
            </w:r>
          </w:p>
        </w:tc>
      </w:tr>
      <w:tr>
        <w:tc>
          <w:tcPr>
            <w:tcW w:type="dxa" w:w="2422"/>
          </w:tcPr>
          <w:p>
            <w:r>
              <w:t>CAR_ANN_30_30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3.84%</w:t>
            </w:r>
          </w:p>
        </w:tc>
        <w:tc>
          <w:tcPr>
            <w:tcW w:type="dxa" w:w="2422"/>
          </w:tcPr>
          <w:p>
            <w:r>
              <w:t>0.0044</w:t>
            </w:r>
          </w:p>
        </w:tc>
      </w:tr>
      <w:tr>
        <w:tc>
          <w:tcPr>
            <w:tcW w:type="dxa" w:w="2422"/>
          </w:tcPr>
          <w:p>
            <w:r>
              <w:t>CAR_PRE_ANNOUNCEMENT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2.29%</w:t>
            </w:r>
          </w:p>
        </w:tc>
        <w:tc>
          <w:tcPr>
            <w:tcW w:type="dxa" w:w="2422"/>
          </w:tcPr>
          <w:p>
            <w:r>
              <w:t>0.0097</w:t>
            </w:r>
          </w:p>
        </w:tc>
      </w:tr>
      <w:tr>
        <w:tc>
          <w:tcPr>
            <w:tcW w:type="dxa" w:w="2422"/>
          </w:tcPr>
          <w:p>
            <w:r>
              <w:t>CAR_ACT_30_30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3.31%</w:t>
            </w:r>
          </w:p>
        </w:tc>
        <w:tc>
          <w:tcPr>
            <w:tcW w:type="dxa" w:w="2422"/>
          </w:tcPr>
          <w:p>
            <w:r>
              <w:t>0.0135</w:t>
            </w:r>
          </w:p>
        </w:tc>
      </w:tr>
      <w:tr>
        <w:tc>
          <w:tcPr>
            <w:tcW w:type="dxa" w:w="2422"/>
          </w:tcPr>
          <w:p>
            <w:r>
              <w:t>RUNUP_PRE_30_5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1.81%</w:t>
            </w:r>
          </w:p>
        </w:tc>
        <w:tc>
          <w:tcPr>
            <w:tcW w:type="dxa" w:w="2422"/>
          </w:tcPr>
          <w:p>
            <w:r>
              <w:t>0.0387</w:t>
            </w:r>
          </w:p>
        </w:tc>
      </w:tr>
      <w:tr>
        <w:tc>
          <w:tcPr>
            <w:tcW w:type="dxa" w:w="2422"/>
          </w:tcPr>
          <w:p>
            <w:r>
              <w:t>CAR_ANN_30_5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1.81%</w:t>
            </w:r>
          </w:p>
        </w:tc>
        <w:tc>
          <w:tcPr>
            <w:tcW w:type="dxa" w:w="2422"/>
          </w:tcPr>
          <w:p>
            <w:r>
              <w:t>0.0387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Модель</w:t>
            </w:r>
          </w:p>
        </w:tc>
        <w:tc>
          <w:tcPr>
            <w:tcW w:type="dxa" w:w="2422"/>
          </w:tcPr>
          <w:p>
            <w:r>
              <w:t>Переменная</w:t>
            </w:r>
          </w:p>
        </w:tc>
        <w:tc>
          <w:tcPr>
            <w:tcW w:type="dxa" w:w="2422"/>
          </w:tcPr>
          <w:p>
            <w:r>
              <w:t>Коэффициент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announcement_car</w:t>
            </w:r>
          </w:p>
        </w:tc>
        <w:tc>
          <w:tcPr>
            <w:tcW w:type="dxa" w:w="2422"/>
          </w:tcPr>
          <w:p>
            <w:r>
              <w:t>deal_value_usd_mn_std</w:t>
            </w:r>
          </w:p>
        </w:tc>
        <w:tc>
          <w:tcPr>
            <w:tcW w:type="dxa" w:w="2422"/>
          </w:tcPr>
          <w:p>
            <w:r>
              <w:t>0.000014</w:t>
            </w:r>
          </w:p>
        </w:tc>
        <w:tc>
          <w:tcPr>
            <w:tcW w:type="dxa" w:w="2422"/>
          </w:tcPr>
          <w:p>
            <w:r>
              <w:t>0.0138</w:t>
            </w:r>
          </w:p>
        </w:tc>
      </w:tr>
      <w:tr>
        <w:tc>
          <w:tcPr>
            <w:tcW w:type="dxa" w:w="2422"/>
          </w:tcPr>
          <w:p>
            <w:r>
              <w:t>announcement_car</w:t>
            </w:r>
          </w:p>
        </w:tc>
        <w:tc>
          <w:tcPr>
            <w:tcW w:type="dxa" w:w="2422"/>
          </w:tcPr>
          <w:p>
            <w:r>
              <w:t>C(deal_status_clean)[T.Оформление]</w:t>
            </w:r>
          </w:p>
        </w:tc>
        <w:tc>
          <w:tcPr>
            <w:tcW w:type="dxa" w:w="2422"/>
          </w:tcPr>
          <w:p>
            <w:r>
              <w:t>-0.018392</w:t>
            </w:r>
          </w:p>
        </w:tc>
        <w:tc>
          <w:tcPr>
            <w:tcW w:type="dxa" w:w="2422"/>
          </w:tcPr>
          <w:p>
            <w:r>
              <w:t>0.0176</w:t>
            </w:r>
          </w:p>
        </w:tc>
      </w:tr>
      <w:tr>
        <w:tc>
          <w:tcPr>
            <w:tcW w:type="dxa" w:w="2422"/>
          </w:tcPr>
          <w:p>
            <w:r>
              <w:t>completion_car</w:t>
            </w:r>
          </w:p>
        </w:tc>
        <w:tc>
          <w:tcPr>
            <w:tcW w:type="dxa" w:w="2422"/>
          </w:tcPr>
          <w:p>
            <w:r>
              <w:t>C(deal_status_clean)[T.Переговоры]</w:t>
            </w:r>
          </w:p>
        </w:tc>
        <w:tc>
          <w:tcPr>
            <w:tcW w:type="dxa" w:w="2422"/>
          </w:tcPr>
          <w:p>
            <w:r>
              <w:t>0.041654</w:t>
            </w:r>
          </w:p>
        </w:tc>
        <w:tc>
          <w:tcPr>
            <w:tcW w:type="dxa" w:w="2422"/>
          </w:tcPr>
          <w:p>
            <w:r>
              <w:t>&lt; 0.0001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Групповая переменная</w:t>
            </w:r>
          </w:p>
        </w:tc>
        <w:tc>
          <w:tcPr>
            <w:tcW w:type="dxa" w:w="2422"/>
          </w:tcPr>
          <w:p>
            <w:r>
              <w:t>Метрика</w:t>
            </w:r>
          </w:p>
        </w:tc>
        <w:tc>
          <w:tcPr>
            <w:tcW w:type="dxa" w:w="2422"/>
          </w:tcPr>
          <w:p>
            <w:r>
              <w:t>Тест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deal_status_clean</w:t>
            </w:r>
          </w:p>
        </w:tc>
        <w:tc>
          <w:tcPr>
            <w:tcW w:type="dxa" w:w="2422"/>
          </w:tcPr>
          <w:p>
            <w:r>
              <w:t>CAR_ANN_1_1</w:t>
            </w:r>
          </w:p>
        </w:tc>
        <w:tc>
          <w:tcPr>
            <w:tcW w:type="dxa" w:w="2422"/>
          </w:tcPr>
          <w:p>
            <w:r>
              <w:t>anova_f</w:t>
            </w:r>
          </w:p>
        </w:tc>
        <w:tc>
          <w:tcPr>
            <w:tcW w:type="dxa" w:w="2422"/>
          </w:tcPr>
          <w:p>
            <w:r>
              <w:t>0.0314</w:t>
            </w:r>
          </w:p>
        </w:tc>
      </w:tr>
    </w:tbl>
    <w:p/>
    <w:p>
      <w:pPr>
        <w:pStyle w:val="Heading1"/>
      </w:pPr>
      <w:r>
        <w:t>6. Интерпретация графиков</w:t>
      </w:r>
    </w:p>
    <w:p>
      <w:r>
        <w:t>Профиль средней сверхнормальной доходности и накопленной сверхнормальной доходности вокруг даты объявления. График построен по 128 сделкам и 2652 дневным наблюдениям в окне t = -10...+10.</w:t>
      </w:r>
    </w:p>
    <w:p>
      <w:r>
        <w:drawing>
          <wp:inline xmlns:a="http://schemas.openxmlformats.org/drawingml/2006/main" xmlns:pic="http://schemas.openxmlformats.org/drawingml/2006/picture">
            <wp:extent cx="5580000" cy="488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_event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Профиль средней сверхнормальной доходности и накопленной сверхнормальной доходности вокруг даты первого появления сделки. График построен по 124 сделкам и 2601 дневным наблюдениям.</w:t>
      </w:r>
    </w:p>
    <w:p>
      <w:r>
        <w:drawing>
          <wp:inline xmlns:a="http://schemas.openxmlformats.org/drawingml/2006/main" xmlns:pic="http://schemas.openxmlformats.org/drawingml/2006/picture">
            <wp:extent cx="5580000" cy="48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event_pro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CAR_ANN_1_1 по 125 сделкам; оно показывает, что вокруг объявления распределение сосредоточено около нуля и не смещено резко в положительную сторону.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_ann_1_1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CAR_CLOSE_1_1 по 101 сделкам; эффект вокруг закрытия сделки выглядит более неоднородным, чем эффект вокруг объявления.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_close_1_1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BHAR_ANN_120 по 0 сделкам; на нем видно, что долгосрочный эффект чаще положителен, чем отрицателен.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ar_ann_120_h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7. Ограничения и корректность интерпретации</w:t>
      </w:r>
    </w:p>
    <w:p>
      <w:r>
        <w:t>Ограничения исследования также важны для интерпретации результатов. Во-первых, для внутридневного анализа даты закрытия сделки отсутствует отдельная внутридневная панель, поэтому соответствующие показатели не рассчитывались. Во-вторых, для 63 сделок дневные панели не покрывали дату закрытия, поэтому анализ вокруг закрытия сделки был доступен не для всей выборки. В-третьих, гипотезы об экосистемных сделках, сделках в рамках основного бизнеса и диверсификационных мотивах не были корректно протестированы, поскольку в текущих исходных данных отсутствует устойчивая содержательная разметка этих типов сделок.</w:t>
      </w:r>
    </w:p>
    <w:p>
      <w:pPr>
        <w:pStyle w:val="Heading1"/>
      </w:pPr>
      <w:r>
        <w:t>8. Итоговые выводы</w:t>
      </w:r>
    </w:p>
    <w:p>
      <w:r>
        <w:t>В целом исследование показывает, что российский рынок не демонстрирует ярко выраженной мгновенной переоценки акций покупателей в момент объявления M&amp;A-сделок, однако фиксирует статистически значимый предсобытийный рост котировок и положительный среднесрочный долгосрочный эффект после стадии объявления и стадии закрытия сделки. Это означает, что экономическая эффективность сделок проявляется не столько в момент новостного шока, сколько в более длинном окне, а также частично закладывается в цены еще до официального объявления.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