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 w:line="330"/>
        <w:jc w:val="center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38"/>
          <w:szCs w:val="38"/>
        </w:rPr>
        <w:t xml:space="preserve">Chapter 5 — Ratio Analysis</w:t>
      </w:r>
    </w:p>
    <w:p>
      <w:pPr>
        <w:pBdr>
          <w:bottom w:val="single" w:color="1F4899" w:sz="10" w:space="6"/>
        </w:pBdr>
        <w:spacing w:after="240" w:line="240"/>
        <w:jc w:val="center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F4899"/>
          <w:sz w:val="22"/>
          <w:szCs w:val="22"/>
        </w:rPr>
        <w:t xml:space="preserve">Analyzing and Interpreting Financial Statements  ·  Student Copy</w:t>
      </w:r>
    </w:p>
    <w:p>
      <w:pPr>
        <w:spacing w:after="250" w:before="40" w:line="24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9"/>
          <w:szCs w:val="19"/>
        </w:rPr>
        <w:t xml:space="preserve">Name  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9"/>
          <w:szCs w:val="19"/>
        </w:rPr>
        <w:t xml:space="preserve">__________________________________          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9"/>
          <w:szCs w:val="19"/>
        </w:rPr>
        <w:t xml:space="preserve">Date  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9"/>
          <w:szCs w:val="19"/>
        </w:rPr>
        <w:t xml:space="preserve">____________________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Part 1  ·  Discussion Questions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Q5-1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Explain in general terms the concept of return on investment. Why is this concept important in the analysis of financial performance?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Q5-2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(a)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Explain how an increase in financial leverage can increase a company’s ROE.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(b)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Given the potentially positive relation between financial leverage and ROE, why don’t we see companies with 100% financial leverage?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Q5-3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Identify two factors that can cause gross profit margin to decline. Is a reduction in the gross profit margin always bad news?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Q5-5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Describe the concept of asset turnover. What does it mean, and why is it important to understanding financial performance?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Q5-6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Explain what it means when a company’s ROE exceeds its ROA.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Q5-8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How does a firm go about increasing its asset turnover ratio? What strategies are likely to be most effective?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Q5-9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What is meant by the term "net" in net operating assets (NOA)?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Q5-10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Why is it important to disaggregate ROA into profit margin (PM) and asset turnover (AT)?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FF6FF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F4899"/>
                <w:sz w:val="22"/>
                <w:szCs w:val="22"/>
              </w:rPr>
              <w:t xml:space="preserve">Q5-12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Explain the concept of liquidity and why it is crucial to company survival.</w:t>
            </w:r>
          </w:p>
        </w:tc>
      </w:tr>
    </w:tbl>
    <w:p>
      <w:pPr>
        <w:spacing w:after="9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19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E5-28  ·  Compute, Disaggregate, and Interpret ROE — Intel Corporation</w:t>
            </w:r>
          </w:p>
        </w:tc>
      </w:tr>
    </w:tbl>
    <w:p>
      <w:pPr>
        <w:spacing w:after="150" w:line="60"/>
      </w:pPr>
    </w:p>
    <w:p>
      <w:pPr>
        <w:keepNext/>
        <w:spacing w:after="60" w:line="250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20"/>
          <w:szCs w:val="20"/>
        </w:rPr>
        <w:t xml:space="preserve">Selected data ($ millions)</w:t>
      </w: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24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2019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Total assets</w:t>
            </w:r>
          </w:p>
        </w:tc>
        <w:tc>
          <w:tcPr>
            <w:tcW w:type="dxa" w:w="2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153,091</w:t>
            </w:r>
          </w:p>
        </w:tc>
        <w:tc>
          <w:tcPr>
            <w:tcW w:type="dxa" w:w="2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136,524</w:t>
            </w:r>
          </w:p>
        </w:tc>
      </w:tr>
      <w:tr>
        <w:tc>
          <w:tcPr>
            <w:tcW w:type="dxa" w:w="45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Total shareholders’ equity</w:t>
            </w:r>
          </w:p>
        </w:tc>
        <w:tc>
          <w:tcPr>
            <w:tcW w:type="dxa" w:w="2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81,038</w:t>
            </w:r>
          </w:p>
        </w:tc>
        <w:tc>
          <w:tcPr>
            <w:tcW w:type="dxa" w:w="2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77,659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Sales revenue</w:t>
            </w:r>
          </w:p>
        </w:tc>
        <w:tc>
          <w:tcPr>
            <w:tcW w:type="dxa" w:w="2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77,867</w:t>
            </w:r>
          </w:p>
        </w:tc>
        <w:tc>
          <w:tcPr>
            <w:tcW w:type="dxa" w:w="2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71,965</w:t>
            </w:r>
          </w:p>
        </w:tc>
      </w:tr>
      <w:tr>
        <w:tc>
          <w:tcPr>
            <w:tcW w:type="dxa" w:w="45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Interest expense</w:t>
            </w:r>
          </w:p>
        </w:tc>
        <w:tc>
          <w:tcPr>
            <w:tcW w:type="dxa" w:w="2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629</w:t>
            </w:r>
          </w:p>
        </w:tc>
        <w:tc>
          <w:tcPr>
            <w:tcW w:type="dxa" w:w="2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489</w:t>
            </w:r>
          </w:p>
        </w:tc>
      </w:tr>
      <w:tr>
        <w:tc>
          <w:tcPr>
            <w:tcW w:type="dxa" w:w="456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Net income</w:t>
            </w:r>
          </w:p>
        </w:tc>
        <w:tc>
          <w:tcPr>
            <w:tcW w:type="dxa" w:w="24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20,899</w:t>
            </w:r>
          </w:p>
        </w:tc>
        <w:tc>
          <w:tcPr>
            <w:tcW w:type="dxa" w:w="2400"/>
            <w:tcBorders>
              <w:top w:val="single" w:color="1F4899" w:sz="6"/>
            </w:tcBorders>
            <w:shd w:fill="E8EE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19"/>
                <w:szCs w:val="19"/>
              </w:rPr>
              <w:t xml:space="preserve">21,048</w:t>
            </w:r>
          </w:p>
        </w:tc>
      </w:tr>
    </w:tbl>
    <w:p>
      <w:pPr>
        <w:spacing w:after="160" w:line="60"/>
      </w:pPr>
    </w:p>
    <w:tbl>
      <w:tblPr>
        <w:tblW w:type="dxa" w:w="9360"/>
        <w:tblBorders>
          <w:top w:val="single" w:color="F59E0B" w:sz="6"/>
          <w:left w:val="single" w:color="F59E0B" w:sz="6"/>
          <w:bottom w:val="single" w:color="F59E0B" w:sz="6"/>
          <w:right w:val="single" w:color="F59E0B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DF0E3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C1691F"/>
                <w:sz w:val="22"/>
                <w:szCs w:val="22"/>
              </w:rPr>
              <w:t xml:space="preserve">Required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a.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Calculate Intel’s return on equity (ROE) for fiscal years 2020 and 2019.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b.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Calculate Intel’s return on assets (ROA) and return on financial leverage (ROFL) for each year. Is financial leverage working to the advantage of Intel’s shareholders? Use a statutory tax rate of 25%.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c.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Use the DuPont formulation to analyze the variations in Intel’s ROE over this period.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30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E5-33  ·  Liquidity and Solvency Ratios — Siemens AG</w:t>
            </w:r>
          </w:p>
        </w:tc>
      </w:tr>
    </w:tbl>
    <w:p>
      <w:pPr>
        <w:spacing w:after="150" w:line="60"/>
      </w:pPr>
    </w:p>
    <w:p>
      <w:pPr>
        <w:keepNext/>
        <w:spacing w:after="60" w:line="250"/>
      </w:pPr>
      <w:r>
        <w:rPr>
          <w:rFonts w:ascii="Arial" w:cs="Arial" w:eastAsia="Malgun Gothic" w:hAnsi="Arial"/>
          <w:b/>
          <w:bCs/>
          <w:i w:val="false"/>
          <w:iCs w:val="false"/>
          <w:color w:val="1F4899"/>
          <w:sz w:val="20"/>
          <w:szCs w:val="20"/>
        </w:rPr>
        <w:t xml:space="preserve">Selected data (€ millions)</w:t>
      </w:r>
    </w:p>
    <w:tbl>
      <w:tblPr>
        <w:tblW w:type="dxa" w:w="9360"/>
        <w:tblBorders>
          <w:top w:val="single" w:color="1F4899" w:sz="8"/>
          <w:left w:val="single" w:color="1F4899" w:sz="8"/>
          <w:bottom w:val="single" w:color="1F4899" w:sz="8"/>
          <w:right w:val="single" w:color="1F4899" w:sz="8"/>
          <w:insideH w:val="single" w:color="D5DEEC" w:sz="4"/>
          <w:insideV w:val="single" w:color="D5DEEC" w:sz="4"/>
        </w:tblBorders>
        <w:tblLayout w:type="fixed"/>
      </w:tblPr>
      <w:tblGrid>
        <w:gridCol w:w="1200"/>
        <w:gridCol w:w="1800"/>
        <w:gridCol w:w="1900"/>
        <w:gridCol w:w="1400"/>
        <w:gridCol w:w="1600"/>
        <w:gridCol w:w="1460"/>
      </w:tblGrid>
      <w:tr>
        <w:trPr>
          <w:tblHeader/>
        </w:trPr>
        <w:tc>
          <w:tcPr>
            <w:tcW w:type="dxa" w:w="12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8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Assets</w:t>
            </w:r>
          </w:p>
        </w:tc>
        <w:tc>
          <w:tcPr>
            <w:tcW w:type="dxa" w:w="19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Liabilities</w:t>
            </w:r>
          </w:p>
        </w:tc>
        <w:tc>
          <w:tcPr>
            <w:tcW w:type="dxa" w:w="14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CFO</w:t>
            </w:r>
          </w:p>
        </w:tc>
        <w:tc>
          <w:tcPr>
            <w:tcW w:type="dxa" w:w="160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Pretax Income</w:t>
            </w:r>
          </w:p>
        </w:tc>
        <w:tc>
          <w:tcPr>
            <w:tcW w:type="dxa" w:w="1460"/>
            <w:shd w:fill="1F4899" w:color="auto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Interest Expense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2018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64,570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47,874</w:t>
            </w:r>
          </w:p>
        </w:tc>
        <w:tc>
          <w:tcPr>
            <w:tcW w:type="dxa" w:w="1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8,425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8,050</w:t>
            </w:r>
          </w:p>
        </w:tc>
        <w:tc>
          <w:tcPr>
            <w:tcW w:type="dxa" w:w="14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1,089</w:t>
            </w:r>
          </w:p>
        </w:tc>
      </w:tr>
      <w:tr>
        <w:tc>
          <w:tcPr>
            <w:tcW w:type="dxa" w:w="12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2019</w:t>
            </w:r>
          </w:p>
        </w:tc>
        <w:tc>
          <w:tcPr>
            <w:tcW w:type="dxa" w:w="18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70,370</w:t>
            </w:r>
          </w:p>
        </w:tc>
        <w:tc>
          <w:tcPr>
            <w:tcW w:type="dxa" w:w="19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50,723</w:t>
            </w:r>
          </w:p>
        </w:tc>
        <w:tc>
          <w:tcPr>
            <w:tcW w:type="dxa" w:w="14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8,456</w:t>
            </w:r>
          </w:p>
        </w:tc>
        <w:tc>
          <w:tcPr>
            <w:tcW w:type="dxa" w:w="160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6,933</w:t>
            </w:r>
          </w:p>
        </w:tc>
        <w:tc>
          <w:tcPr>
            <w:tcW w:type="dxa" w:w="1460"/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965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2020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52,968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34,117</w:t>
            </w:r>
          </w:p>
        </w:tc>
        <w:tc>
          <w:tcPr>
            <w:tcW w:type="dxa" w:w="14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8,886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5,672</w:t>
            </w:r>
          </w:p>
        </w:tc>
        <w:tc>
          <w:tcPr>
            <w:tcW w:type="dxa" w:w="14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19"/>
                <w:szCs w:val="19"/>
              </w:rPr>
              <w:t xml:space="preserve">815</w:t>
            </w:r>
          </w:p>
        </w:tc>
      </w:tr>
    </w:tbl>
    <w:p>
      <w:pPr>
        <w:spacing w:after="160" w:line="60"/>
      </w:pPr>
    </w:p>
    <w:tbl>
      <w:tblPr>
        <w:tblW w:type="dxa" w:w="9360"/>
        <w:tblBorders>
          <w:top w:val="single" w:color="F59E0B" w:sz="6"/>
          <w:left w:val="single" w:color="F59E0B" w:sz="6"/>
          <w:bottom w:val="single" w:color="F59E0B" w:sz="6"/>
          <w:right w:val="single" w:color="F59E0B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DF0E3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C1691F"/>
                <w:sz w:val="22"/>
                <w:szCs w:val="22"/>
              </w:rPr>
              <w:t xml:space="preserve">Required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a.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Compute the current ratio for each year and discuss any trend in liquidity.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b.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Compute times interest earned and the debt-to-equity ratio for each year and discuss any trends.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c.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Assess the company’s liquidity and solvency based on your calculations.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30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P5-36  ·  Return on Investment for Competitors — Nike vs. Adidas</w:t>
            </w:r>
          </w:p>
        </w:tc>
      </w:tr>
    </w:tbl>
    <w:p>
      <w:pPr>
        <w:spacing w:after="150" w:line="60"/>
      </w:pPr>
    </w:p>
    <w:p>
      <w:pPr>
        <w:spacing w:after="130" w:before="90"/>
        <w:jc w:val="center"/>
      </w:pPr>
      <w:r>
        <w:drawing>
          <wp:inline distT="0" distB="0" distL="0" distR="0">
            <wp:extent cx="6286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64"/>
        <w:jc w:val="center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8"/>
          <w:szCs w:val="18"/>
        </w:rPr>
        <w:t xml:space="preserve">Nike, Inc. — financial statements</w:t>
      </w:r>
    </w:p>
    <w:p>
      <w:pPr>
        <w:spacing w:after="130" w:before="90"/>
        <w:jc w:val="center"/>
      </w:pPr>
      <w:r>
        <w:drawing>
          <wp:inline distT="0" distB="0" distL="0" distR="0">
            <wp:extent cx="53340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64"/>
        <w:jc w:val="center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767676"/>
          <w:sz w:val="18"/>
          <w:szCs w:val="18"/>
        </w:rPr>
        <w:t xml:space="preserve">Adidas Group — financial statements</w:t>
      </w:r>
    </w:p>
    <w:tbl>
      <w:tblPr>
        <w:tblW w:type="dxa" w:w="9360"/>
        <w:tblBorders>
          <w:top w:val="single" w:color="F59E0B" w:sz="6"/>
          <w:left w:val="single" w:color="F59E0B" w:sz="6"/>
          <w:bottom w:val="single" w:color="F59E0B" w:sz="6"/>
          <w:right w:val="single" w:color="F59E0B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DF0E3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C1691F"/>
                <w:sz w:val="22"/>
                <w:szCs w:val="22"/>
              </w:rPr>
              <w:t xml:space="preserve">Required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a.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Compute ROE, ROA, and ROFL for Nike and Adidas in the most recent year. The corporate tax rate in Germany is about 30%; assume 25% for Nike.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b.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Disaggregate the ROAs into profit margin (PM) and asset turnover (AT). Which factor drives ROA for each company?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c.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Compute the gross profit margin (GPM) and operating expense-to-sales ratios. How do these compare?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d.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Compute accounts receivable turnover (ART), inventory turnover (INVT), and PP&amp;E turnover (PPET). How do these compare?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e.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Nike’s fiscal year ends May 31, 2020; Adidas’ ends December 31, 2019. How does this affect your analysis?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f.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Nike follows U.S. GAAP and Adidas follows IFRS. How does this affect your comparison?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1F4899" w:color="auto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P5-37  ·  Liquidity and Solvency for Competitors — Nike vs. Adidas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F59E0B" w:sz="6"/>
          <w:left w:val="single" w:color="F59E0B" w:sz="6"/>
          <w:bottom w:val="single" w:color="F59E0B" w:sz="6"/>
          <w:right w:val="single" w:color="F59E0B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DF0E3" w:color="auto" w:val="clear"/>
            <w:tcMar>
              <w:top w:type="dxa" w:w="105"/>
              <w:left w:type="dxa" w:w="165"/>
              <w:bottom w:type="dxa" w:w="105"/>
              <w:right w:type="dxa" w:w="165"/>
            </w:tcMar>
          </w:tcPr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C1691F"/>
                <w:sz w:val="22"/>
                <w:szCs w:val="22"/>
              </w:rPr>
              <w:t xml:space="preserve">Required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Refer to the financial statements of Nike and Adidas presented in P5-36.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a.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Compute each company’s current ratio and quick ratio for each year. Comment on any changes.</w:t>
            </w:r>
          </w:p>
          <w:p>
            <w:pPr>
              <w:spacing w:after="55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b.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Compute each company’s times interest earned ratio and debt-to-equity ratio for each year. Comment on any changes.</w:t>
            </w:r>
          </w:p>
          <w:p>
            <w:pPr>
              <w:spacing w:after="0" w:before="0" w:line="264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D1D1D"/>
                <w:sz w:val="21"/>
                <w:szCs w:val="21"/>
              </w:rPr>
              <w:t xml:space="preserve">c.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D1D1D"/>
                <w:sz w:val="21"/>
                <w:szCs w:val="21"/>
              </w:rPr>
              <w:t xml:space="preserve"> Compare the two companies on liquidity and solvency. Do you have concerns about either company’s ability to meet its debt obligations?</w:t>
            </w:r>
          </w:p>
        </w:tc>
      </w:tr>
    </w:tbl>
    <w:p>
      <w:pPr>
        <w:spacing w:after="150" w:line="60"/>
      </w:pPr>
    </w:p>
    <w:tbl>
      <w:tblPr>
        <w:tblW w:type="dxa" w:w="9360"/>
        <w:tblBorders>
          <w:top w:val="single" w:color="C9C9C4" w:sz="6"/>
          <w:left w:val="single" w:color="C9C9C4" w:sz="6"/>
          <w:bottom w:val="single" w:color="C9C9C4" w:sz="6"/>
          <w:right w:val="single" w:color="C9C9C4" w:sz="6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Mar>
              <w:top w:type="dxa" w:w="95"/>
              <w:left w:type="dxa" w:w="165"/>
              <w:bottom w:type="dxa" w:w="95"/>
              <w:right w:type="dxa" w:w="165"/>
            </w:tcMar>
          </w:tcPr>
          <w:p>
            <w:pPr>
              <w:spacing w:after="0" w:line="200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767676"/>
                <w:sz w:val="17"/>
                <w:szCs w:val="17"/>
              </w:rPr>
              <w:t xml:space="preserve">Answer</w:t>
            </w:r>
          </w:p>
        </w:tc>
      </w:tr>
    </w:tbl>
    <w:p>
      <w:pPr>
        <w:spacing w:after="150" w:line="60"/>
      </w:pP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Malgun Gothic" w:hAnsi="Arial"/>
        <w:b w:val="false"/>
        <w:bCs w:val="false"/>
        <w:i w:val="false"/>
        <w:iCs w:val="false"/>
        <w:color w:val="767676"/>
        <w:sz w:val="15"/>
        <w:szCs w:val="15"/>
      </w:rPr>
      <w:t xml:space="preserve">Chapter 5  ·  Ratio Analysis          </w:t>
    </w:r>
    <w:r>
      <w:rPr>
        <w:rFonts w:ascii="Arial" w:cs="Arial" w:eastAsia="Malgun Gothic" w:hAnsi="Arial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removePersonalInform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D1D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3bbef029ab2a3b7a6351aff92b97512d84814eb.png"/><Relationship Id="rId9" Type="http://schemas.openxmlformats.org/officeDocument/2006/relationships/image" Target="media/49c6c344fa66c02178d50df85f73184a8a4c939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2026-08-04T07:14:17.986Z</dcterms:created>
  <dcterms:modified xsi:type="dcterms:W3CDTF">2026-08-04T07:14:17.986Z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