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 w:line="330"/>
        <w:jc w:val="center"/>
      </w:pPr>
      <w:r>
        <w:rPr>
          <w:rFonts w:ascii="Arial" w:cs="Arial" w:eastAsia="Malgun Gothic" w:hAnsi="Arial"/>
          <w:b/>
          <w:bCs/>
          <w:i w:val="false"/>
          <w:iCs w:val="false"/>
          <w:color w:val="1F4899"/>
          <w:sz w:val="38"/>
          <w:szCs w:val="38"/>
        </w:rPr>
        <w:t xml:space="preserve">Chapter 8 — Long-Lived Assets</w:t>
      </w:r>
    </w:p>
    <w:p>
      <w:pPr>
        <w:pBdr>
          <w:bottom w:val="single" w:color="1F4899" w:sz="10" w:space="6"/>
        </w:pBdr>
        <w:spacing w:after="240" w:line="240"/>
        <w:jc w:val="center"/>
      </w:pPr>
      <w:r>
        <w:rPr>
          <w:rFonts w:ascii="Arial" w:cs="Arial" w:eastAsia="Malgun Gothic" w:hAnsi="Arial"/>
          <w:b w:val="false"/>
          <w:bCs w:val="false"/>
          <w:i w:val="false"/>
          <w:iCs w:val="false"/>
          <w:color w:val="1F4899"/>
          <w:sz w:val="22"/>
          <w:szCs w:val="22"/>
        </w:rPr>
        <w:t xml:space="preserve">Homework  ·  Student Copy</w:t>
      </w:r>
    </w:p>
    <w:p>
      <w:pPr>
        <w:spacing w:after="250" w:before="40" w:line="240"/>
      </w:pPr>
      <w:r>
        <w:rPr>
          <w:rFonts w:ascii="Arial" w:cs="Arial" w:eastAsia="Malgun Gothic" w:hAnsi="Arial"/>
          <w:b w:val="false"/>
          <w:bCs w:val="false"/>
          <w:i w:val="false"/>
          <w:iCs w:val="false"/>
          <w:color w:val="767676"/>
          <w:sz w:val="19"/>
          <w:szCs w:val="19"/>
        </w:rPr>
        <w:t xml:space="preserve">Name  </w:t>
      </w:r>
      <w:r>
        <w:rPr>
          <w:rFonts w:ascii="Arial" w:cs="Arial" w:eastAsia="Malgun Gothic" w:hAnsi="Arial"/>
          <w:b w:val="false"/>
          <w:bCs w:val="false"/>
          <w:i w:val="false"/>
          <w:iCs w:val="false"/>
          <w:color w:val="767676"/>
          <w:sz w:val="19"/>
          <w:szCs w:val="19"/>
        </w:rPr>
        <w:t xml:space="preserve">__________________________________          </w:t>
      </w:r>
      <w:r>
        <w:rPr>
          <w:rFonts w:ascii="Arial" w:cs="Arial" w:eastAsia="Malgun Gothic" w:hAnsi="Arial"/>
          <w:b w:val="false"/>
          <w:bCs w:val="false"/>
          <w:i w:val="false"/>
          <w:iCs w:val="false"/>
          <w:color w:val="767676"/>
          <w:sz w:val="19"/>
          <w:szCs w:val="19"/>
        </w:rPr>
        <w:t xml:space="preserve">Date  </w:t>
      </w:r>
      <w:r>
        <w:rPr>
          <w:rFonts w:ascii="Arial" w:cs="Arial" w:eastAsia="Malgun Gothic" w:hAnsi="Arial"/>
          <w:b w:val="false"/>
          <w:bCs w:val="false"/>
          <w:i w:val="false"/>
          <w:iCs w:val="false"/>
          <w:color w:val="767676"/>
          <w:sz w:val="19"/>
          <w:szCs w:val="19"/>
        </w:rPr>
        <w:t xml:space="preserve">____________________</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1F4899" w:color="auto" w:val="clear"/>
            <w:tcMar>
              <w:top w:type="dxa" w:w="85"/>
              <w:left w:type="dxa" w:w="200"/>
              <w:bottom w:type="dxa" w:w="85"/>
              <w:right w:type="dxa" w:w="200"/>
            </w:tcMar>
          </w:tcPr>
          <w:p>
            <w:pPr>
              <w:spacing w:after="0" w:before="0" w:line="264"/>
            </w:pPr>
            <w:r>
              <w:rPr>
                <w:rFonts w:ascii="Arial" w:cs="Arial" w:eastAsia="Malgun Gothic" w:hAnsi="Arial"/>
                <w:b/>
                <w:bCs/>
                <w:i w:val="false"/>
                <w:iCs w:val="false"/>
                <w:color w:val="FFFFFF"/>
                <w:sz w:val="23"/>
                <w:szCs w:val="23"/>
              </w:rPr>
              <w:t xml:space="preserve">8.1  ·  Acquisition Cost of Equipment</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Problem</w:t>
            </w:r>
          </w:p>
          <w:p>
            <w:pPr>
              <w:spacing w:after="55" w:before="0" w:line="264"/>
            </w:pPr>
            <w:r>
              <w:rPr>
                <w:rFonts w:ascii="Arial" w:cs="Arial" w:eastAsia="Malgun Gothic" w:hAnsi="Arial"/>
                <w:b w:val="false"/>
                <w:bCs w:val="false"/>
                <w:i w:val="false"/>
                <w:iCs w:val="false"/>
                <w:color w:val="1D1D1D"/>
                <w:sz w:val="21"/>
                <w:szCs w:val="21"/>
              </w:rPr>
              <w:t xml:space="preserve">Cedar Fair purchased two new rides for </w:t>
            </w:r>
            <w:r>
              <w:rPr>
                <w:rFonts w:ascii="Arial" w:cs="Arial" w:eastAsia="Malgun Gothic" w:hAnsi="Arial"/>
                <w:b/>
                <w:bCs/>
                <w:i w:val="false"/>
                <w:iCs w:val="false"/>
                <w:color w:val="1D1D1D"/>
                <w:sz w:val="21"/>
                <w:szCs w:val="21"/>
              </w:rPr>
              <w:t xml:space="preserve">$26,000,000</w:t>
            </w:r>
            <w:r>
              <w:rPr>
                <w:rFonts w:ascii="Arial" w:cs="Arial" w:eastAsia="Malgun Gothic" w:hAnsi="Arial"/>
                <w:b w:val="false"/>
                <w:bCs w:val="false"/>
                <w:i w:val="false"/>
                <w:iCs w:val="false"/>
                <w:color w:val="1D1D1D"/>
                <w:sz w:val="21"/>
                <w:szCs w:val="21"/>
              </w:rPr>
              <w:t xml:space="preserve">, paying </w:t>
            </w:r>
            <w:r>
              <w:rPr>
                <w:rFonts w:ascii="Arial" w:cs="Arial" w:eastAsia="Malgun Gothic" w:hAnsi="Arial"/>
                <w:b/>
                <w:bCs/>
                <w:i w:val="false"/>
                <w:iCs w:val="false"/>
                <w:color w:val="1D1D1D"/>
                <w:sz w:val="21"/>
                <w:szCs w:val="21"/>
              </w:rPr>
              <w:t xml:space="preserve">$13,000,000</w:t>
            </w:r>
            <w:r>
              <w:rPr>
                <w:rFonts w:ascii="Arial" w:cs="Arial" w:eastAsia="Malgun Gothic" w:hAnsi="Arial"/>
                <w:b w:val="false"/>
                <w:bCs w:val="false"/>
                <w:i w:val="false"/>
                <w:iCs w:val="false"/>
                <w:color w:val="1D1D1D"/>
                <w:sz w:val="21"/>
                <w:szCs w:val="21"/>
              </w:rPr>
              <w:t xml:space="preserve"> cash and signing a note payable with 9% interest for the remaining amount. The note is payable in three years. Cedar Fair paid </w:t>
            </w:r>
            <w:r>
              <w:rPr>
                <w:rFonts w:ascii="Arial" w:cs="Arial" w:eastAsia="Malgun Gothic" w:hAnsi="Arial"/>
                <w:b/>
                <w:bCs/>
                <w:i w:val="false"/>
                <w:iCs w:val="false"/>
                <w:color w:val="1D1D1D"/>
                <w:sz w:val="21"/>
                <w:szCs w:val="21"/>
              </w:rPr>
              <w:t xml:space="preserve">$125,000</w:t>
            </w:r>
            <w:r>
              <w:rPr>
                <w:rFonts w:ascii="Arial" w:cs="Arial" w:eastAsia="Malgun Gothic" w:hAnsi="Arial"/>
                <w:b w:val="false"/>
                <w:bCs w:val="false"/>
                <w:i w:val="false"/>
                <w:iCs w:val="false"/>
                <w:color w:val="1D1D1D"/>
                <w:sz w:val="21"/>
                <w:szCs w:val="21"/>
              </w:rPr>
              <w:t xml:space="preserve"> for transportation and </w:t>
            </w:r>
            <w:r>
              <w:rPr>
                <w:rFonts w:ascii="Arial" w:cs="Arial" w:eastAsia="Malgun Gothic" w:hAnsi="Arial"/>
                <w:b/>
                <w:bCs/>
                <w:i w:val="false"/>
                <w:iCs w:val="false"/>
                <w:color w:val="1D1D1D"/>
                <w:sz w:val="21"/>
                <w:szCs w:val="21"/>
              </w:rPr>
              <w:t xml:space="preserve">$1,200</w:t>
            </w:r>
            <w:r>
              <w:rPr>
                <w:rFonts w:ascii="Arial" w:cs="Arial" w:eastAsia="Malgun Gothic" w:hAnsi="Arial"/>
                <w:b w:val="false"/>
                <w:bCs w:val="false"/>
                <w:i w:val="false"/>
                <w:iCs w:val="false"/>
                <w:color w:val="1D1D1D"/>
                <w:sz w:val="21"/>
                <w:szCs w:val="21"/>
              </w:rPr>
              <w:t xml:space="preserve"> freight insurance. In addition, the company paid </w:t>
            </w:r>
            <w:r>
              <w:rPr>
                <w:rFonts w:ascii="Arial" w:cs="Arial" w:eastAsia="Malgun Gothic" w:hAnsi="Arial"/>
                <w:b/>
                <w:bCs/>
                <w:i w:val="false"/>
                <w:iCs w:val="false"/>
                <w:color w:val="1D1D1D"/>
                <w:sz w:val="21"/>
                <w:szCs w:val="21"/>
              </w:rPr>
              <w:t xml:space="preserve">$625,000</w:t>
            </w:r>
            <w:r>
              <w:rPr>
                <w:rFonts w:ascii="Arial" w:cs="Arial" w:eastAsia="Malgun Gothic" w:hAnsi="Arial"/>
                <w:b w:val="false"/>
                <w:bCs w:val="false"/>
                <w:i w:val="false"/>
                <w:iCs w:val="false"/>
                <w:color w:val="1D1D1D"/>
                <w:sz w:val="21"/>
                <w:szCs w:val="21"/>
              </w:rPr>
              <w:t xml:space="preserve"> for installation of the ride.</w:t>
            </w:r>
          </w:p>
          <w:p>
            <w:pPr>
              <w:spacing w:after="0" w:before="0" w:line="264"/>
            </w:pPr>
            <w:r>
              <w:rPr>
                <w:rFonts w:ascii="Arial" w:cs="Arial" w:eastAsia="Malgun Gothic" w:hAnsi="Arial"/>
                <w:b w:val="false"/>
                <w:bCs w:val="false"/>
                <w:i w:val="false"/>
                <w:iCs w:val="false"/>
                <w:color w:val="1D1D1D"/>
                <w:sz w:val="21"/>
                <w:szCs w:val="21"/>
              </w:rPr>
              <w:t xml:space="preserve">How much of these expenditures related to the new rides purchase should be capitalized?</w:t>
            </w:r>
          </w:p>
        </w:tc>
      </w:tr>
    </w:tbl>
    <w:p>
      <w:pPr>
        <w:spacing w:after="90" w:line="60"/>
      </w:pPr>
    </w:p>
    <w:tbl>
      <w:tblPr>
        <w:tblW w:type="dxa" w:w="9360"/>
        <w:tblBorders>
          <w:top w:val="single" w:color="C9C9C4" w:sz="6"/>
          <w:left w:val="single" w:color="C9C9C4" w:sz="6"/>
          <w:bottom w:val="single" w:color="C9C9C4" w:sz="6"/>
          <w:right w:val="single" w:color="C9C9C4" w:sz="6"/>
          <w:insideH w:val="none" w:color="FFFFFF" w:sz="0"/>
          <w:insideV w:val="none" w:color="FFFFFF" w:sz="0"/>
        </w:tblBorders>
        <w:tblLayout w:type="fixed"/>
      </w:tblPr>
      <w:tblGrid>
        <w:gridCol w:w="9360"/>
      </w:tblGrid>
      <w:tr>
        <w:trPr>
          <w:cantSplit/>
          <w:trHeight w:val="2500" w:hRule="atLeast"/>
        </w:trPr>
        <w:tc>
          <w:tcPr>
            <w:tcW w:type="dxa" w:w="9360"/>
            <w:tcMar>
              <w:top w:type="dxa" w:w="95"/>
              <w:left w:type="dxa" w:w="165"/>
              <w:bottom w:type="dxa" w:w="95"/>
              <w:right w:type="dxa" w:w="165"/>
            </w:tcMar>
          </w:tcPr>
          <w:p>
            <w:pPr>
              <w:spacing w:after="0" w:line="200"/>
            </w:pPr>
            <w:r>
              <w:rPr>
                <w:rFonts w:ascii="Arial" w:cs="Arial" w:eastAsia="Malgun Gothic" w:hAnsi="Arial"/>
                <w:b w:val="false"/>
                <w:bCs w:val="false"/>
                <w:i/>
                <w:iCs/>
                <w:color w:val="767676"/>
                <w:sz w:val="17"/>
                <w:szCs w:val="17"/>
              </w:rPr>
              <w:t xml:space="preserve">Answer</w:t>
            </w:r>
          </w:p>
        </w:tc>
      </w:tr>
    </w:tbl>
    <w:p>
      <w:pPr>
        <w:spacing w:after="150" w:lin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1F4899" w:color="auto" w:val="clear"/>
            <w:tcMar>
              <w:top w:type="dxa" w:w="85"/>
              <w:left w:type="dxa" w:w="200"/>
              <w:bottom w:type="dxa" w:w="85"/>
              <w:right w:type="dxa" w:w="200"/>
            </w:tcMar>
          </w:tcPr>
          <w:p>
            <w:pPr>
              <w:spacing w:after="0" w:before="0" w:line="264"/>
            </w:pPr>
            <w:r>
              <w:rPr>
                <w:rFonts w:ascii="Arial" w:cs="Arial" w:eastAsia="Malgun Gothic" w:hAnsi="Arial"/>
                <w:b/>
                <w:bCs/>
                <w:i w:val="false"/>
                <w:iCs w:val="false"/>
                <w:color w:val="FFFFFF"/>
                <w:sz w:val="23"/>
                <w:szCs w:val="23"/>
              </w:rPr>
              <w:t xml:space="preserve">8.2  ·  Capitalization of Interest During Construction</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Problem</w:t>
            </w:r>
          </w:p>
          <w:p>
            <w:pPr>
              <w:spacing w:after="55" w:before="0" w:line="264"/>
            </w:pPr>
            <w:r>
              <w:rPr>
                <w:rFonts w:ascii="Arial" w:cs="Arial" w:eastAsia="Malgun Gothic" w:hAnsi="Arial"/>
                <w:b w:val="false"/>
                <w:bCs w:val="false"/>
                <w:i w:val="false"/>
                <w:iCs w:val="false"/>
                <w:color w:val="1D1D1D"/>
                <w:sz w:val="21"/>
                <w:szCs w:val="21"/>
              </w:rPr>
              <w:t xml:space="preserve">ABC Manufacturing is building a new factory. Construction began on January 1 and ended on December 31. During the year, ABC had the following:</w:t>
            </w:r>
          </w:p>
          <w:p>
            <w:pPr>
              <w:spacing w:after="55" w:before="0" w:line="264"/>
            </w:pPr>
            <w:r>
              <w:rPr>
                <w:rFonts w:ascii="Arial" w:cs="Arial" w:eastAsia="Malgun Gothic" w:hAnsi="Arial"/>
                <w:b w:val="false"/>
                <w:bCs w:val="false"/>
                <w:i w:val="false"/>
                <w:iCs w:val="false"/>
                <w:color w:val="1D1D1D"/>
                <w:sz w:val="21"/>
                <w:szCs w:val="21"/>
              </w:rPr>
              <w:t xml:space="preserve">·  Construction expenditures: </w:t>
            </w:r>
            <w:r>
              <w:rPr>
                <w:rFonts w:ascii="Arial" w:cs="Arial" w:eastAsia="Malgun Gothic" w:hAnsi="Arial"/>
                <w:b/>
                <w:bCs/>
                <w:i w:val="false"/>
                <w:iCs w:val="false"/>
                <w:color w:val="1D1D1D"/>
                <w:sz w:val="21"/>
                <w:szCs w:val="21"/>
              </w:rPr>
              <w:t xml:space="preserve">$5,000,000</w:t>
            </w:r>
            <w:r>
              <w:rPr>
                <w:rFonts w:ascii="Arial" w:cs="Arial" w:eastAsia="Malgun Gothic" w:hAnsi="Arial"/>
                <w:b w:val="false"/>
                <w:bCs w:val="false"/>
                <w:i w:val="false"/>
                <w:iCs w:val="false"/>
                <w:color w:val="1D1D1D"/>
                <w:sz w:val="21"/>
                <w:szCs w:val="21"/>
              </w:rPr>
              <w:t xml:space="preserve"> (on average throughout the year)</w:t>
            </w:r>
          </w:p>
          <w:p>
            <w:pPr>
              <w:spacing w:after="55" w:before="0" w:line="264"/>
            </w:pPr>
            <w:r>
              <w:rPr>
                <w:rFonts w:ascii="Arial" w:cs="Arial" w:eastAsia="Malgun Gothic" w:hAnsi="Arial"/>
                <w:b w:val="false"/>
                <w:bCs w:val="false"/>
                <w:i w:val="false"/>
                <w:iCs w:val="false"/>
                <w:color w:val="1D1D1D"/>
                <w:sz w:val="21"/>
                <w:szCs w:val="21"/>
              </w:rPr>
              <w:t xml:space="preserve">·  General debt: </w:t>
            </w:r>
            <w:r>
              <w:rPr>
                <w:rFonts w:ascii="Arial" w:cs="Arial" w:eastAsia="Malgun Gothic" w:hAnsi="Arial"/>
                <w:b/>
                <w:bCs/>
                <w:i w:val="false"/>
                <w:iCs w:val="false"/>
                <w:color w:val="1D1D1D"/>
                <w:sz w:val="21"/>
                <w:szCs w:val="21"/>
              </w:rPr>
              <w:t xml:space="preserve">$10,000,000</w:t>
            </w:r>
            <w:r>
              <w:rPr>
                <w:rFonts w:ascii="Arial" w:cs="Arial" w:eastAsia="Malgun Gothic" w:hAnsi="Arial"/>
                <w:b w:val="false"/>
                <w:bCs w:val="false"/>
                <w:i w:val="false"/>
                <w:iCs w:val="false"/>
                <w:color w:val="1D1D1D"/>
                <w:sz w:val="21"/>
                <w:szCs w:val="21"/>
              </w:rPr>
              <w:t xml:space="preserve"> at 6% interest</w:t>
            </w:r>
          </w:p>
          <w:p>
            <w:pPr>
              <w:spacing w:after="0" w:before="0" w:line="264"/>
            </w:pPr>
            <w:r>
              <w:rPr>
                <w:rFonts w:ascii="Arial" w:cs="Arial" w:eastAsia="Malgun Gothic" w:hAnsi="Arial"/>
                <w:b w:val="false"/>
                <w:bCs w:val="false"/>
                <w:i w:val="false"/>
                <w:iCs w:val="false"/>
                <w:color w:val="1D1D1D"/>
                <w:sz w:val="21"/>
                <w:szCs w:val="21"/>
              </w:rPr>
              <w:t xml:space="preserve">·  Total interest incurred in the year: </w:t>
            </w:r>
            <w:r>
              <w:rPr>
                <w:rFonts w:ascii="Arial" w:cs="Arial" w:eastAsia="Malgun Gothic" w:hAnsi="Arial"/>
                <w:b/>
                <w:bCs/>
                <w:i w:val="false"/>
                <w:iCs w:val="false"/>
                <w:color w:val="1D1D1D"/>
                <w:sz w:val="21"/>
                <w:szCs w:val="21"/>
              </w:rPr>
              <w:t xml:space="preserve">$800,000</w:t>
            </w:r>
          </w:p>
        </w:tc>
      </w:tr>
    </w:tbl>
    <w:p>
      <w:pPr>
        <w:spacing w:after="90" w:line="60"/>
      </w:pPr>
    </w:p>
    <w:p>
      <w:pPr>
        <w:keepNext/>
        <w:spacing w:after="70" w:before="130" w:line="265"/>
      </w:pPr>
      <w:r>
        <w:rPr>
          <w:rFonts w:ascii="Arial" w:cs="Arial" w:eastAsia="Malgun Gothic" w:hAnsi="Arial"/>
          <w:b/>
          <w:bCs/>
          <w:i w:val="false"/>
          <w:iCs w:val="false"/>
          <w:color w:val="1F4899"/>
          <w:sz w:val="22"/>
          <w:szCs w:val="22"/>
        </w:rPr>
        <w:t xml:space="preserve">Question 1.  What is the total asset related to the construction (i.e., the building)?</w:t>
      </w:r>
    </w:p>
    <w:tbl>
      <w:tblPr>
        <w:tblW w:type="dxa" w:w="9360"/>
        <w:tblBorders>
          <w:top w:val="single" w:color="C9C9C4" w:sz="6"/>
          <w:left w:val="single" w:color="C9C9C4" w:sz="6"/>
          <w:bottom w:val="single" w:color="C9C9C4" w:sz="6"/>
          <w:right w:val="single" w:color="C9C9C4" w:sz="6"/>
          <w:insideH w:val="none" w:color="FFFFFF" w:sz="0"/>
          <w:insideV w:val="none" w:color="FFFFFF" w:sz="0"/>
        </w:tblBorders>
        <w:tblLayout w:type="fixed"/>
      </w:tblPr>
      <w:tblGrid>
        <w:gridCol w:w="9360"/>
      </w:tblGrid>
      <w:tr>
        <w:trPr>
          <w:cantSplit/>
          <w:trHeight w:val="1700" w:hRule="atLeast"/>
        </w:trPr>
        <w:tc>
          <w:tcPr>
            <w:tcW w:type="dxa" w:w="9360"/>
            <w:tcMar>
              <w:top w:type="dxa" w:w="95"/>
              <w:left w:type="dxa" w:w="165"/>
              <w:bottom w:type="dxa" w:w="95"/>
              <w:right w:type="dxa" w:w="165"/>
            </w:tcMar>
          </w:tcPr>
          <w:p>
            <w:pPr>
              <w:spacing w:after="0" w:line="200"/>
            </w:pPr>
            <w:r>
              <w:rPr>
                <w:rFonts w:ascii="Arial" w:cs="Arial" w:eastAsia="Malgun Gothic" w:hAnsi="Arial"/>
                <w:b w:val="false"/>
                <w:bCs w:val="false"/>
                <w:i/>
                <w:iCs/>
                <w:color w:val="767676"/>
                <w:sz w:val="17"/>
                <w:szCs w:val="17"/>
              </w:rPr>
              <w:t xml:space="preserve">Answer</w:t>
            </w:r>
          </w:p>
        </w:tc>
      </w:tr>
    </w:tbl>
    <w:p>
      <w:pPr>
        <w:spacing w:after="150" w:line="60"/>
      </w:pPr>
    </w:p>
    <w:p>
      <w:pPr>
        <w:keepNext/>
        <w:spacing w:after="70" w:before="130" w:line="265"/>
      </w:pPr>
      <w:r>
        <w:rPr>
          <w:rFonts w:ascii="Arial" w:cs="Arial" w:eastAsia="Malgun Gothic" w:hAnsi="Arial"/>
          <w:b/>
          <w:bCs/>
          <w:i w:val="false"/>
          <w:iCs w:val="false"/>
          <w:color w:val="1F4899"/>
          <w:sz w:val="22"/>
          <w:szCs w:val="22"/>
        </w:rPr>
        <w:t xml:space="preserve">Question 2.  Why do U.S. GAAP and IFRS require interest incurred during construction to be capitalized rather than expensed?</w:t>
      </w:r>
    </w:p>
    <w:tbl>
      <w:tblPr>
        <w:tblW w:type="dxa" w:w="9360"/>
        <w:tblBorders>
          <w:top w:val="single" w:color="C9C9C4" w:sz="6"/>
          <w:left w:val="single" w:color="C9C9C4" w:sz="6"/>
          <w:bottom w:val="single" w:color="C9C9C4" w:sz="6"/>
          <w:right w:val="single" w:color="C9C9C4" w:sz="6"/>
          <w:insideH w:val="none" w:color="FFFFFF" w:sz="0"/>
          <w:insideV w:val="none" w:color="FFFFFF" w:sz="0"/>
        </w:tblBorders>
        <w:tblLayout w:type="fixed"/>
      </w:tblPr>
      <w:tblGrid>
        <w:gridCol w:w="9360"/>
      </w:tblGrid>
      <w:tr>
        <w:trPr>
          <w:cantSplit/>
          <w:trHeight w:val="1700" w:hRule="atLeast"/>
        </w:trPr>
        <w:tc>
          <w:tcPr>
            <w:tcW w:type="dxa" w:w="9360"/>
            <w:tcMar>
              <w:top w:type="dxa" w:w="95"/>
              <w:left w:type="dxa" w:w="165"/>
              <w:bottom w:type="dxa" w:w="95"/>
              <w:right w:type="dxa" w:w="165"/>
            </w:tcMar>
          </w:tcPr>
          <w:p>
            <w:pPr>
              <w:spacing w:after="0" w:line="200"/>
            </w:pPr>
            <w:r>
              <w:rPr>
                <w:rFonts w:ascii="Arial" w:cs="Arial" w:eastAsia="Malgun Gothic" w:hAnsi="Arial"/>
                <w:b w:val="false"/>
                <w:bCs w:val="false"/>
                <w:i/>
                <w:iCs/>
                <w:color w:val="767676"/>
                <w:sz w:val="17"/>
                <w:szCs w:val="17"/>
              </w:rPr>
              <w:t xml:space="preserve">Answer</w:t>
            </w:r>
          </w:p>
        </w:tc>
      </w:tr>
    </w:tbl>
    <w:p>
      <w:pPr>
        <w:spacing w:after="150" w:lin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1F4899" w:color="auto" w:val="clear"/>
            <w:tcMar>
              <w:top w:type="dxa" w:w="85"/>
              <w:left w:type="dxa" w:w="200"/>
              <w:bottom w:type="dxa" w:w="85"/>
              <w:right w:type="dxa" w:w="200"/>
            </w:tcMar>
          </w:tcPr>
          <w:p>
            <w:pPr>
              <w:spacing w:after="0" w:before="0" w:line="264"/>
            </w:pPr>
            <w:r>
              <w:rPr>
                <w:rFonts w:ascii="Arial" w:cs="Arial" w:eastAsia="Malgun Gothic" w:hAnsi="Arial"/>
                <w:b/>
                <w:bCs/>
                <w:i w:val="false"/>
                <w:iCs w:val="false"/>
                <w:color w:val="FFFFFF"/>
                <w:sz w:val="23"/>
                <w:szCs w:val="23"/>
              </w:rPr>
              <w:t xml:space="preserve">8.3  ·  Brand Names</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Problem</w:t>
            </w:r>
          </w:p>
          <w:p>
            <w:pPr>
              <w:spacing w:after="55" w:before="0" w:line="264"/>
            </w:pPr>
            <w:r>
              <w:rPr>
                <w:rFonts w:ascii="Arial" w:cs="Arial" w:eastAsia="Malgun Gothic" w:hAnsi="Arial"/>
                <w:b w:val="false"/>
                <w:bCs w:val="false"/>
                <w:i/>
                <w:iCs/>
                <w:color w:val="1D1D1D"/>
                <w:sz w:val="21"/>
                <w:szCs w:val="21"/>
              </w:rPr>
              <w:t xml:space="preserve">Williams-Sonoma, Inc.</w:t>
            </w:r>
            <w:r>
              <w:rPr>
                <w:rFonts w:ascii="Arial" w:cs="Arial" w:eastAsia="Malgun Gothic" w:hAnsi="Arial"/>
                <w:b w:val="false"/>
                <w:bCs w:val="false"/>
                <w:i w:val="false"/>
                <w:iCs w:val="false"/>
                <w:color w:val="1D1D1D"/>
                <w:sz w:val="21"/>
                <w:szCs w:val="21"/>
              </w:rPr>
              <w:t xml:space="preserve"> is a specialty retailer of products for the home. The retail segment sells through its retail concepts: Williams-Sonoma, Pottery Barn, Pottery Barn Kids, PBteen, West Elm, and Rejuvenation. The direct-to-customer segment sells similar products through direct-mail catalogs and e-commerce websites.</w:t>
            </w:r>
          </w:p>
          <w:p>
            <w:pPr>
              <w:spacing w:after="0" w:before="0" w:line="264"/>
            </w:pPr>
            <w:r>
              <w:rPr>
                <w:rFonts w:ascii="Arial" w:cs="Arial" w:eastAsia="Malgun Gothic" w:hAnsi="Arial"/>
                <w:b w:val="false"/>
                <w:bCs w:val="false"/>
                <w:i w:val="false"/>
                <w:iCs w:val="false"/>
                <w:color w:val="1D1D1D"/>
                <w:sz w:val="21"/>
                <w:szCs w:val="21"/>
              </w:rPr>
              <w:t xml:space="preserve">The Williams-Sonoma brand name is well known in the United States. Discuss why the company does not report its brand name as an asset on its balance sheet. Is the brand name reflected anywhere in its financial statements?</w:t>
            </w:r>
          </w:p>
        </w:tc>
      </w:tr>
    </w:tbl>
    <w:p>
      <w:pPr>
        <w:spacing w:after="90" w:line="60"/>
      </w:pPr>
    </w:p>
    <w:tbl>
      <w:tblPr>
        <w:tblW w:type="dxa" w:w="9360"/>
        <w:tblBorders>
          <w:top w:val="single" w:color="C9C9C4" w:sz="6"/>
          <w:left w:val="single" w:color="C9C9C4" w:sz="6"/>
          <w:bottom w:val="single" w:color="C9C9C4" w:sz="6"/>
          <w:right w:val="single" w:color="C9C9C4" w:sz="6"/>
          <w:insideH w:val="none" w:color="FFFFFF" w:sz="0"/>
          <w:insideV w:val="none" w:color="FFFFFF" w:sz="0"/>
        </w:tblBorders>
        <w:tblLayout w:type="fixed"/>
      </w:tblPr>
      <w:tblGrid>
        <w:gridCol w:w="9360"/>
      </w:tblGrid>
      <w:tr>
        <w:trPr>
          <w:cantSplit/>
          <w:trHeight w:val="2500" w:hRule="atLeast"/>
        </w:trPr>
        <w:tc>
          <w:tcPr>
            <w:tcW w:type="dxa" w:w="9360"/>
            <w:tcMar>
              <w:top w:type="dxa" w:w="95"/>
              <w:left w:type="dxa" w:w="165"/>
              <w:bottom w:type="dxa" w:w="95"/>
              <w:right w:type="dxa" w:w="165"/>
            </w:tcMar>
          </w:tcPr>
          <w:p>
            <w:pPr>
              <w:spacing w:after="0" w:line="200"/>
            </w:pPr>
            <w:r>
              <w:rPr>
                <w:rFonts w:ascii="Arial" w:cs="Arial" w:eastAsia="Malgun Gothic" w:hAnsi="Arial"/>
                <w:b w:val="false"/>
                <w:bCs w:val="false"/>
                <w:i/>
                <w:iCs/>
                <w:color w:val="767676"/>
                <w:sz w:val="17"/>
                <w:szCs w:val="17"/>
              </w:rPr>
              <w:t xml:space="preserve">Answer</w:t>
            </w:r>
          </w:p>
        </w:tc>
      </w:tr>
    </w:tbl>
    <w:p>
      <w:pPr>
        <w:spacing w:after="150" w:lin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1F4899" w:color="auto" w:val="clear"/>
            <w:tcMar>
              <w:top w:type="dxa" w:w="85"/>
              <w:left w:type="dxa" w:w="200"/>
              <w:bottom w:type="dxa" w:w="85"/>
              <w:right w:type="dxa" w:w="200"/>
            </w:tcMar>
          </w:tcPr>
          <w:p>
            <w:pPr>
              <w:spacing w:after="0" w:before="0" w:line="264"/>
            </w:pPr>
            <w:r>
              <w:rPr>
                <w:rFonts w:ascii="Arial" w:cs="Arial" w:eastAsia="Malgun Gothic" w:hAnsi="Arial"/>
                <w:b/>
                <w:bCs/>
                <w:i w:val="false"/>
                <w:iCs w:val="false"/>
                <w:color w:val="FFFFFF"/>
                <w:sz w:val="23"/>
                <w:szCs w:val="23"/>
              </w:rPr>
              <w:t xml:space="preserve">8.4  ·  R&amp;D Failure and Share Prices</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Problem</w:t>
            </w:r>
          </w:p>
          <w:p>
            <w:pPr>
              <w:spacing w:after="55" w:before="0" w:line="264"/>
            </w:pPr>
            <w:r>
              <w:rPr>
                <w:rFonts w:ascii="Arial" w:cs="Arial" w:eastAsia="Malgun Gothic" w:hAnsi="Arial"/>
                <w:b w:val="false"/>
                <w:bCs w:val="false"/>
                <w:i w:val="false"/>
                <w:iCs w:val="false"/>
                <w:color w:val="1D1D1D"/>
                <w:sz w:val="21"/>
                <w:szCs w:val="21"/>
              </w:rPr>
              <w:t xml:space="preserve">On August 5, 2016, </w:t>
            </w:r>
            <w:r>
              <w:rPr>
                <w:rFonts w:ascii="Arial" w:cs="Arial" w:eastAsia="Malgun Gothic" w:hAnsi="Arial"/>
                <w:b w:val="false"/>
                <w:bCs w:val="false"/>
                <w:i/>
                <w:iCs/>
                <w:color w:val="1D1D1D"/>
                <w:sz w:val="21"/>
                <w:szCs w:val="21"/>
              </w:rPr>
              <w:t xml:space="preserve">Bristol Myers Squibb</w:t>
            </w:r>
            <w:r>
              <w:rPr>
                <w:rFonts w:ascii="Arial" w:cs="Arial" w:eastAsia="Malgun Gothic" w:hAnsi="Arial"/>
                <w:b w:val="false"/>
                <w:bCs w:val="false"/>
                <w:i w:val="false"/>
                <w:iCs w:val="false"/>
                <w:color w:val="1D1D1D"/>
                <w:sz w:val="21"/>
                <w:szCs w:val="21"/>
              </w:rPr>
              <w:t xml:space="preserve"> stock dropped by 17 percent after it announced that its drug failed in clinical trials as a treatment for lung cancer. The drug was already approved for treating some other types of cancer, with sales for those uses of nearly </w:t>
            </w:r>
            <w:r>
              <w:rPr>
                <w:rFonts w:ascii="Arial" w:cs="Arial" w:eastAsia="Malgun Gothic" w:hAnsi="Arial"/>
                <w:b/>
                <w:bCs/>
                <w:i w:val="false"/>
                <w:iCs w:val="false"/>
                <w:color w:val="1D1D1D"/>
                <w:sz w:val="21"/>
                <w:szCs w:val="21"/>
              </w:rPr>
              <w:t xml:space="preserve">$1 billion</w:t>
            </w:r>
            <w:r>
              <w:rPr>
                <w:rFonts w:ascii="Arial" w:cs="Arial" w:eastAsia="Malgun Gothic" w:hAnsi="Arial"/>
                <w:b w:val="false"/>
                <w:bCs w:val="false"/>
                <w:i w:val="false"/>
                <w:iCs w:val="false"/>
                <w:color w:val="1D1D1D"/>
                <w:sz w:val="21"/>
                <w:szCs w:val="21"/>
              </w:rPr>
              <w:t xml:space="preserve">. Bristol was hoping to grow the market by getting approval for additional types of cancer. The drop reduced the company’s market capitalization by </w:t>
            </w:r>
            <w:r>
              <w:rPr>
                <w:rFonts w:ascii="Arial" w:cs="Arial" w:eastAsia="Malgun Gothic" w:hAnsi="Arial"/>
                <w:b/>
                <w:bCs/>
                <w:i w:val="false"/>
                <w:iCs w:val="false"/>
                <w:color w:val="1D1D1D"/>
                <w:sz w:val="21"/>
                <w:szCs w:val="21"/>
              </w:rPr>
              <w:t xml:space="preserve">$21 billion</w:t>
            </w:r>
            <w:r>
              <w:rPr>
                <w:rFonts w:ascii="Arial" w:cs="Arial" w:eastAsia="Malgun Gothic" w:hAnsi="Arial"/>
                <w:b w:val="false"/>
                <w:bCs w:val="false"/>
                <w:i w:val="false"/>
                <w:iCs w:val="false"/>
                <w:color w:val="1D1D1D"/>
                <w:sz w:val="21"/>
                <w:szCs w:val="21"/>
              </w:rPr>
              <w:t xml:space="preserve">.</w:t>
            </w:r>
          </w:p>
          <w:p>
            <w:pPr>
              <w:spacing w:after="0" w:before="0" w:line="264"/>
            </w:pPr>
            <w:r>
              <w:rPr>
                <w:rFonts w:ascii="Arial" w:cs="Arial" w:eastAsia="Malgun Gothic" w:hAnsi="Arial"/>
                <w:b w:val="false"/>
                <w:bCs w:val="false"/>
                <w:i w:val="false"/>
                <w:iCs w:val="false"/>
                <w:color w:val="1D1D1D"/>
                <w:sz w:val="21"/>
                <w:szCs w:val="21"/>
              </w:rPr>
              <w:t xml:space="preserve">Discuss the impact on the company’s financial statements.</w:t>
            </w:r>
          </w:p>
        </w:tc>
      </w:tr>
    </w:tbl>
    <w:p>
      <w:pPr>
        <w:spacing w:after="90" w:line="60"/>
      </w:pPr>
    </w:p>
    <w:tbl>
      <w:tblPr>
        <w:tblW w:type="dxa" w:w="9360"/>
        <w:tblBorders>
          <w:top w:val="single" w:color="C9C9C4" w:sz="6"/>
          <w:left w:val="single" w:color="C9C9C4" w:sz="6"/>
          <w:bottom w:val="single" w:color="C9C9C4" w:sz="6"/>
          <w:right w:val="single" w:color="C9C9C4" w:sz="6"/>
          <w:insideH w:val="none" w:color="FFFFFF" w:sz="0"/>
          <w:insideV w:val="none" w:color="FFFFFF" w:sz="0"/>
        </w:tblBorders>
        <w:tblLayout w:type="fixed"/>
      </w:tblPr>
      <w:tblGrid>
        <w:gridCol w:w="9360"/>
      </w:tblGrid>
      <w:tr>
        <w:trPr>
          <w:cantSplit/>
          <w:trHeight w:val="2500" w:hRule="atLeast"/>
        </w:trPr>
        <w:tc>
          <w:tcPr>
            <w:tcW w:type="dxa" w:w="9360"/>
            <w:tcMar>
              <w:top w:type="dxa" w:w="95"/>
              <w:left w:type="dxa" w:w="165"/>
              <w:bottom w:type="dxa" w:w="95"/>
              <w:right w:type="dxa" w:w="165"/>
            </w:tcMar>
          </w:tcPr>
          <w:p>
            <w:pPr>
              <w:spacing w:after="0" w:line="200"/>
            </w:pPr>
            <w:r>
              <w:rPr>
                <w:rFonts w:ascii="Arial" w:cs="Arial" w:eastAsia="Malgun Gothic" w:hAnsi="Arial"/>
                <w:b w:val="false"/>
                <w:bCs w:val="false"/>
                <w:i/>
                <w:iCs/>
                <w:color w:val="767676"/>
                <w:sz w:val="17"/>
                <w:szCs w:val="17"/>
              </w:rPr>
              <w:t xml:space="preserve">Answer</w:t>
            </w:r>
          </w:p>
        </w:tc>
      </w:tr>
    </w:tbl>
    <w:p>
      <w:pPr>
        <w:spacing w:after="150" w:line="60"/>
      </w:pP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Malgun Gothic" w:hAnsi="Arial"/>
        <w:b w:val="false"/>
        <w:bCs w:val="false"/>
        <w:i w:val="false"/>
        <w:iCs w:val="false"/>
        <w:color w:val="767676"/>
        <w:sz w:val="15"/>
        <w:szCs w:val="15"/>
      </w:rPr>
      <w:t xml:space="preserve">Chapter 8  ·  Long-Lived Assets          </w:t>
    </w:r>
    <w:r>
      <w:rPr>
        <w:rFonts w:ascii="Arial" w:cs="Arial" w:eastAsia="Malgun Gothic" w:hAnsi="Arial"/>
        <w:color w:val="76767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removePersonalInformation/>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D1D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2026-08-04T07:14:18.317Z</dcterms:created>
  <dcterms:modified xsi:type="dcterms:W3CDTF">2026-08-04T07:14:18.317Z</dcterms:modified>
</cp:coreProperties>
</file>

<file path=docProps/custom.xml><?xml version="1.0" encoding="utf-8"?>
<Properties xmlns="http://schemas.openxmlformats.org/officeDocument/2006/custom-properties" xmlns:vt="http://schemas.openxmlformats.org/officeDocument/2006/docPropsVTypes"/>
</file>