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line="330"/>
        <w:jc w:val="center"/>
      </w:pPr>
      <w:r>
        <w:rPr>
          <w:rFonts w:ascii="Arial" w:cs="Arial" w:eastAsia="Malgun Gothic" w:hAnsi="Arial"/>
          <w:b/>
          <w:bCs/>
          <w:i w:val="false"/>
          <w:iCs w:val="false"/>
          <w:color w:val="1F4899"/>
          <w:sz w:val="38"/>
          <w:szCs w:val="38"/>
        </w:rPr>
        <w:t xml:space="preserve">Chapter 6 — Revenue Recognition and Accounts Receivable</w:t>
      </w:r>
    </w:p>
    <w:p>
      <w:pPr>
        <w:pBdr>
          <w:bottom w:val="single" w:color="1F4899" w:sz="10" w:space="6"/>
        </w:pBdr>
        <w:spacing w:after="240" w:line="240"/>
        <w:jc w:val="center"/>
      </w:pPr>
      <w:r>
        <w:rPr>
          <w:rFonts w:ascii="Arial" w:cs="Arial" w:eastAsia="Malgun Gothic" w:hAnsi="Arial"/>
          <w:b w:val="false"/>
          <w:bCs w:val="false"/>
          <w:i w:val="false"/>
          <w:iCs w:val="false"/>
          <w:color w:val="1F4899"/>
          <w:sz w:val="22"/>
          <w:szCs w:val="22"/>
        </w:rPr>
        <w:t xml:space="preserve">Homework  ·  Student Copy</w:t>
      </w:r>
    </w:p>
    <w:p>
      <w:pPr>
        <w:spacing w:after="250" w:before="40" w:line="240"/>
      </w:pPr>
      <w:r>
        <w:rPr>
          <w:rFonts w:ascii="Arial" w:cs="Arial" w:eastAsia="Malgun Gothic" w:hAnsi="Arial"/>
          <w:b w:val="false"/>
          <w:bCs w:val="false"/>
          <w:i w:val="false"/>
          <w:iCs w:val="false"/>
          <w:color w:val="767676"/>
          <w:sz w:val="19"/>
          <w:szCs w:val="19"/>
        </w:rPr>
        <w:t xml:space="preserve">Name  </w:t>
      </w:r>
      <w:r>
        <w:rPr>
          <w:rFonts w:ascii="Arial" w:cs="Arial" w:eastAsia="Malgun Gothic" w:hAnsi="Arial"/>
          <w:b w:val="false"/>
          <w:bCs w:val="false"/>
          <w:i w:val="false"/>
          <w:iCs w:val="false"/>
          <w:color w:val="767676"/>
          <w:sz w:val="19"/>
          <w:szCs w:val="19"/>
        </w:rPr>
        <w:t xml:space="preserve">__________________________________          </w:t>
      </w:r>
      <w:r>
        <w:rPr>
          <w:rFonts w:ascii="Arial" w:cs="Arial" w:eastAsia="Malgun Gothic" w:hAnsi="Arial"/>
          <w:b w:val="false"/>
          <w:bCs w:val="false"/>
          <w:i w:val="false"/>
          <w:iCs w:val="false"/>
          <w:color w:val="767676"/>
          <w:sz w:val="19"/>
          <w:szCs w:val="19"/>
        </w:rPr>
        <w:t xml:space="preserve">Date  </w:t>
      </w:r>
      <w:r>
        <w:rPr>
          <w:rFonts w:ascii="Arial" w:cs="Arial" w:eastAsia="Malgun Gothic" w:hAnsi="Arial"/>
          <w:b w:val="false"/>
          <w:bCs w:val="false"/>
          <w:i w:val="false"/>
          <w:iCs w:val="false"/>
          <w:color w:val="767676"/>
          <w:sz w:val="19"/>
          <w:szCs w:val="19"/>
        </w:rPr>
        <w:t xml:space="preserve">____________________</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E5.12  ·  Revenue Recognition Policy Decisions</w:t>
            </w:r>
          </w:p>
        </w:tc>
      </w:tr>
    </w:tbl>
    <w:p>
      <w:pPr>
        <w:spacing w:after="150" w:line="60"/>
      </w:pPr>
    </w:p>
    <w:p>
      <w:pPr>
        <w:spacing w:after="90" w:before="0" w:line="264"/>
      </w:pPr>
      <w:r>
        <w:rPr>
          <w:rFonts w:ascii="Arial" w:cs="Arial" w:eastAsia="Malgun Gothic" w:hAnsi="Arial"/>
          <w:b w:val="false"/>
          <w:bCs w:val="false"/>
          <w:i w:val="false"/>
          <w:iCs w:val="false"/>
          <w:color w:val="1D1D1D"/>
          <w:sz w:val="21"/>
          <w:szCs w:val="21"/>
        </w:rPr>
        <w:t xml:space="preserve">Consider the following independent situations. For each, describe the revenue recognition policy the company should follow, explaining the basis for your recommendation.</w:t>
      </w: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1.  Lifetime health club membership</w:t>
            </w:r>
          </w:p>
          <w:p>
            <w:pPr>
              <w:spacing w:after="0" w:before="0" w:line="264"/>
            </w:pPr>
            <w:r>
              <w:rPr>
                <w:rFonts w:ascii="Arial" w:cs="Arial" w:eastAsia="Malgun Gothic" w:hAnsi="Arial"/>
                <w:b w:val="false"/>
                <w:bCs w:val="false"/>
                <w:i w:val="false"/>
                <w:iCs w:val="false"/>
                <w:color w:val="1D1D1D"/>
                <w:sz w:val="21"/>
                <w:szCs w:val="21"/>
              </w:rPr>
              <w:t xml:space="preserve">An international health club sells lifetime memberships costing </w:t>
            </w:r>
            <w:r>
              <w:rPr>
                <w:rFonts w:ascii="Arial" w:cs="Arial" w:eastAsia="Malgun Gothic" w:hAnsi="Arial"/>
                <w:b/>
                <w:bCs/>
                <w:i w:val="false"/>
                <w:iCs w:val="false"/>
                <w:color w:val="1D1D1D"/>
                <w:sz w:val="21"/>
                <w:szCs w:val="21"/>
              </w:rPr>
              <w:t xml:space="preserve">$1,500</w:t>
            </w:r>
            <w:r>
              <w:rPr>
                <w:rFonts w:ascii="Arial" w:cs="Arial" w:eastAsia="Malgun Gothic" w:hAnsi="Arial"/>
                <w:b w:val="false"/>
                <w:bCs w:val="false"/>
                <w:i w:val="false"/>
                <w:iCs w:val="false"/>
                <w:color w:val="1D1D1D"/>
                <w:sz w:val="21"/>
                <w:szCs w:val="21"/>
              </w:rPr>
              <w:t xml:space="preserve">, allowing the purchaser unlimited use of any of the club’s 300 facilities around the world. The initiation fee may be paid in 36 monthly installments, with a 2 percent interest charge on any unpaid balance.</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19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2.  Extended vehicle warranty</w:t>
            </w:r>
          </w:p>
          <w:p>
            <w:pPr>
              <w:spacing w:after="0" w:before="0" w:line="264"/>
            </w:pPr>
            <w:r>
              <w:rPr>
                <w:rFonts w:ascii="Arial" w:cs="Arial" w:eastAsia="Malgun Gothic" w:hAnsi="Arial"/>
                <w:b w:val="false"/>
                <w:bCs w:val="false"/>
                <w:i w:val="false"/>
                <w:iCs w:val="false"/>
                <w:color w:val="1D1D1D"/>
                <w:sz w:val="21"/>
                <w:szCs w:val="21"/>
              </w:rPr>
              <w:t xml:space="preserve">Franklin Motors, Inc. has always offered a limited, 36-month warranty on its cars and trucks. To counter competition, the company developed a new warranty program: for a </w:t>
            </w:r>
            <w:r>
              <w:rPr>
                <w:rFonts w:ascii="Arial" w:cs="Arial" w:eastAsia="Malgun Gothic" w:hAnsi="Arial"/>
                <w:b/>
                <w:bCs/>
                <w:i w:val="false"/>
                <w:iCs w:val="false"/>
                <w:color w:val="1D1D1D"/>
                <w:sz w:val="21"/>
                <w:szCs w:val="21"/>
              </w:rPr>
              <w:t xml:space="preserve">$1,500</w:t>
            </w:r>
            <w:r>
              <w:rPr>
                <w:rFonts w:ascii="Arial" w:cs="Arial" w:eastAsia="Malgun Gothic" w:hAnsi="Arial"/>
                <w:b w:val="false"/>
                <w:bCs w:val="false"/>
                <w:i w:val="false"/>
                <w:iCs w:val="false"/>
                <w:color w:val="1D1D1D"/>
                <w:sz w:val="21"/>
                <w:szCs w:val="21"/>
              </w:rPr>
              <w:t xml:space="preserve"> payment at the time of purchase, a customer can buy a seven-year warranty covering replacement of almost all parts and labor. The purchased warranty expires at the end of seven years or when the customer sells the vehicle, whichever occurs first.</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25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3.  Discount coupon books</w:t>
            </w:r>
          </w:p>
          <w:p>
            <w:pPr>
              <w:spacing w:after="0" w:before="0" w:line="264"/>
            </w:pPr>
            <w:r>
              <w:rPr>
                <w:rFonts w:ascii="Arial" w:cs="Arial" w:eastAsia="Malgun Gothic" w:hAnsi="Arial"/>
                <w:b w:val="false"/>
                <w:bCs w:val="false"/>
                <w:i w:val="false"/>
                <w:iCs w:val="false"/>
                <w:color w:val="1D1D1D"/>
                <w:sz w:val="21"/>
                <w:szCs w:val="21"/>
              </w:rPr>
              <w:t xml:space="preserve">Chandler Promotions Inc. sells coupon books giving the holder a 10 percent discount at any of 50 participating merchants. The buyer pays </w:t>
            </w:r>
            <w:r>
              <w:rPr>
                <w:rFonts w:ascii="Arial" w:cs="Arial" w:eastAsia="Malgun Gothic" w:hAnsi="Arial"/>
                <w:b/>
                <w:bCs/>
                <w:i w:val="false"/>
                <w:iCs w:val="false"/>
                <w:color w:val="1D1D1D"/>
                <w:sz w:val="21"/>
                <w:szCs w:val="21"/>
              </w:rPr>
              <w:t xml:space="preserve">$25</w:t>
            </w:r>
            <w:r>
              <w:rPr>
                <w:rFonts w:ascii="Arial" w:cs="Arial" w:eastAsia="Malgun Gothic" w:hAnsi="Arial"/>
                <w:b w:val="false"/>
                <w:bCs w:val="false"/>
                <w:i w:val="false"/>
                <w:iCs w:val="false"/>
                <w:color w:val="1D1D1D"/>
                <w:sz w:val="21"/>
                <w:szCs w:val="21"/>
              </w:rPr>
              <w:t xml:space="preserve"> for the book but can realize up to </w:t>
            </w:r>
            <w:r>
              <w:rPr>
                <w:rFonts w:ascii="Arial" w:cs="Arial" w:eastAsia="Malgun Gothic" w:hAnsi="Arial"/>
                <w:b/>
                <w:bCs/>
                <w:i w:val="false"/>
                <w:iCs w:val="false"/>
                <w:color w:val="1D1D1D"/>
                <w:sz w:val="21"/>
                <w:szCs w:val="21"/>
              </w:rPr>
              <w:t xml:space="preserve">$500</w:t>
            </w:r>
            <w:r>
              <w:rPr>
                <w:rFonts w:ascii="Arial" w:cs="Arial" w:eastAsia="Malgun Gothic" w:hAnsi="Arial"/>
                <w:b w:val="false"/>
                <w:bCs w:val="false"/>
                <w:i w:val="false"/>
                <w:iCs w:val="false"/>
                <w:color w:val="1D1D1D"/>
                <w:sz w:val="21"/>
                <w:szCs w:val="21"/>
              </w:rPr>
              <w:t xml:space="preserve"> in savings. Chandler convinces merchants to participate at no cost, arguing that participation will build customer traffic and create repeat business.</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25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4.  Deferred-payment furniture sales</w:t>
            </w:r>
          </w:p>
          <w:p>
            <w:pPr>
              <w:spacing w:after="0" w:before="0" w:line="264"/>
            </w:pPr>
            <w:r>
              <w:rPr>
                <w:rFonts w:ascii="Arial" w:cs="Arial" w:eastAsia="Malgun Gothic" w:hAnsi="Arial"/>
                <w:b w:val="false"/>
                <w:bCs w:val="false"/>
                <w:i w:val="false"/>
                <w:iCs w:val="false"/>
                <w:color w:val="1D1D1D"/>
                <w:sz w:val="21"/>
                <w:szCs w:val="21"/>
              </w:rPr>
              <w:t xml:space="preserve">Comfort Furniture sells household furniture. Customers can pay at the time of delivery or wait one year to make payment. In the latter case, the customer must pay the retail price plus an additional 16 percent. Should Comfort Furniture report the additional 16 percent as part of revenue from selling the furniture, or separately? Assume collectibility is not an issue.</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25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5.  Newspapers with right of return</w:t>
            </w:r>
          </w:p>
          <w:p>
            <w:pPr>
              <w:spacing w:after="0" w:before="0" w:line="264"/>
            </w:pPr>
            <w:r>
              <w:rPr>
                <w:rFonts w:ascii="Arial" w:cs="Arial" w:eastAsia="Malgun Gothic" w:hAnsi="Arial"/>
                <w:b w:val="false"/>
                <w:bCs w:val="false"/>
                <w:i w:val="false"/>
                <w:iCs w:val="false"/>
                <w:color w:val="1D1D1D"/>
                <w:sz w:val="21"/>
                <w:szCs w:val="21"/>
              </w:rPr>
              <w:t xml:space="preserve">Local News, Inc. prints and distributes a weekly newspaper throughout the city. Local stores order a certain number of papers each week and pay on delivery. Local News always takes back any unsold papers and gives the merchant a credit toward future purchases.</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19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P5.23  ·  Point in Time vs. Over Time Recognition</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Problem</w:t>
            </w:r>
          </w:p>
          <w:p>
            <w:pPr>
              <w:spacing w:after="0" w:before="0" w:line="264"/>
            </w:pPr>
            <w:r>
              <w:rPr>
                <w:rFonts w:ascii="Arial" w:cs="Arial" w:eastAsia="Malgun Gothic" w:hAnsi="Arial"/>
                <w:b w:val="false"/>
                <w:bCs w:val="false"/>
                <w:i w:val="false"/>
                <w:iCs w:val="false"/>
                <w:color w:val="1D1D1D"/>
                <w:sz w:val="21"/>
                <w:szCs w:val="21"/>
              </w:rPr>
              <w:t xml:space="preserve">The Morgan Company won a contract to build a shopping center at a price of </w:t>
            </w:r>
            <w:r>
              <w:rPr>
                <w:rFonts w:ascii="Arial" w:cs="Arial" w:eastAsia="Malgun Gothic" w:hAnsi="Arial"/>
                <w:b/>
                <w:bCs/>
                <w:i w:val="false"/>
                <w:iCs w:val="false"/>
                <w:color w:val="1D1D1D"/>
                <w:sz w:val="21"/>
                <w:szCs w:val="21"/>
              </w:rPr>
              <w:t xml:space="preserve">$450 million</w:t>
            </w:r>
            <w:r>
              <w:rPr>
                <w:rFonts w:ascii="Arial" w:cs="Arial" w:eastAsia="Malgun Gothic" w:hAnsi="Arial"/>
                <w:b w:val="false"/>
                <w:bCs w:val="false"/>
                <w:i w:val="false"/>
                <w:iCs w:val="false"/>
                <w:color w:val="1D1D1D"/>
                <w:sz w:val="21"/>
                <w:szCs w:val="21"/>
              </w:rPr>
              <w:t xml:space="preserve">. The schedule below details the actual costs of construction and the actual cash collections under the contract.</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19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p>
      <w:pPr>
        <w:spacing w:after="0" w:line="60"/>
      </w:pP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2000"/>
        <w:gridCol w:w="3680"/>
        <w:gridCol w:w="3680"/>
      </w:tblGrid>
      <w:tr>
        <w:trPr>
          <w:tblHeader/>
        </w:trPr>
        <w:tc>
          <w:tcPr>
            <w:tcW w:type="dxa" w:w="20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Year</w:t>
            </w:r>
          </w:p>
        </w:tc>
        <w:tc>
          <w:tcPr>
            <w:tcW w:type="dxa" w:w="368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Costs of Construction ($)</w:t>
            </w:r>
          </w:p>
        </w:tc>
        <w:tc>
          <w:tcPr>
            <w:tcW w:type="dxa" w:w="368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Cash Collections from Customer ($)</w:t>
            </w:r>
          </w:p>
        </w:tc>
      </w:tr>
      <w:tr>
        <w:tc>
          <w:tcPr>
            <w:tcW w:type="dxa" w:w="2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Year 1</w:t>
            </w:r>
          </w:p>
        </w:tc>
        <w:tc>
          <w:tcPr>
            <w:tcW w:type="dxa" w:w="368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57,000,000</w:t>
            </w:r>
          </w:p>
        </w:tc>
        <w:tc>
          <w:tcPr>
            <w:tcW w:type="dxa" w:w="368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90,000,000</w:t>
            </w:r>
          </w:p>
        </w:tc>
      </w:tr>
      <w:tr>
        <w:tc>
          <w:tcPr>
            <w:tcW w:type="dxa" w:w="2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Year 2</w:t>
            </w:r>
          </w:p>
        </w:tc>
        <w:tc>
          <w:tcPr>
            <w:tcW w:type="dxa" w:w="368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85,500,000</w:t>
            </w:r>
          </w:p>
        </w:tc>
        <w:tc>
          <w:tcPr>
            <w:tcW w:type="dxa" w:w="368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135,000,000</w:t>
            </w:r>
          </w:p>
        </w:tc>
      </w:tr>
      <w:tr>
        <w:tc>
          <w:tcPr>
            <w:tcW w:type="dxa" w:w="2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Year 3</w:t>
            </w:r>
          </w:p>
        </w:tc>
        <w:tc>
          <w:tcPr>
            <w:tcW w:type="dxa" w:w="368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99,750,000</w:t>
            </w:r>
          </w:p>
        </w:tc>
        <w:tc>
          <w:tcPr>
            <w:tcW w:type="dxa" w:w="368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157,500,000</w:t>
            </w:r>
          </w:p>
        </w:tc>
      </w:tr>
      <w:tr>
        <w:tc>
          <w:tcPr>
            <w:tcW w:type="dxa" w:w="2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Year 4</w:t>
            </w:r>
          </w:p>
        </w:tc>
        <w:tc>
          <w:tcPr>
            <w:tcW w:type="dxa" w:w="368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42,750,000</w:t>
            </w:r>
          </w:p>
        </w:tc>
        <w:tc>
          <w:tcPr>
            <w:tcW w:type="dxa" w:w="368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67,500,000</w:t>
            </w:r>
          </w:p>
        </w:tc>
      </w:tr>
      <w:tr>
        <w:tc>
          <w:tcPr>
            <w:tcW w:type="dxa" w:w="2000"/>
            <w:tcBorders>
              <w:top w:val="single" w:color="1F4899" w:sz="6"/>
            </w:tcBorders>
            <w:shd w:fill="E8EEF8"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bCs/>
                <w:i w:val="false"/>
                <w:iCs w:val="false"/>
                <w:color w:val="1D1D1D"/>
                <w:sz w:val="19"/>
                <w:szCs w:val="19"/>
              </w:rPr>
              <w:t xml:space="preserve">Total</w:t>
            </w:r>
          </w:p>
        </w:tc>
        <w:tc>
          <w:tcPr>
            <w:tcW w:type="dxa" w:w="3680"/>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285,000,000</w:t>
            </w:r>
          </w:p>
        </w:tc>
        <w:tc>
          <w:tcPr>
            <w:tcW w:type="dxa" w:w="3680"/>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450,000,000</w:t>
            </w:r>
          </w:p>
        </w:tc>
      </w:tr>
    </w:tbl>
    <w:p>
      <w:pPr>
        <w:spacing w:after="160" w:line="60"/>
      </w:pPr>
    </w:p>
    <w:tbl>
      <w:tblPr>
        <w:tblW w:type="dxa" w:w="9360"/>
        <w:tblBorders>
          <w:top w:val="single" w:color="F59E0B" w:sz="6"/>
          <w:left w:val="single" w:color="F59E0B" w:sz="6"/>
          <w:bottom w:val="single" w:color="F59E0B" w:sz="6"/>
          <w:right w:val="single" w:color="F59E0B" w:sz="6"/>
          <w:insideH w:val="none" w:color="FFFFFF" w:sz="0"/>
          <w:insideV w:val="none" w:color="FFFFFF" w:sz="0"/>
        </w:tblBorders>
        <w:tblLayout w:type="fixed"/>
      </w:tblPr>
      <w:tblGrid>
        <w:gridCol w:w="9360"/>
      </w:tblGrid>
      <w:tr>
        <w:trPr>
          <w:cantSplit/>
        </w:trPr>
        <w:tc>
          <w:tcPr>
            <w:tcW w:type="dxa" w:w="9360"/>
            <w:shd w:fill="FDF0E3"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C1691F"/>
                <w:sz w:val="22"/>
                <w:szCs w:val="22"/>
              </w:rPr>
              <w:t xml:space="preserve">Required</w:t>
            </w:r>
          </w:p>
          <w:p>
            <w:pPr>
              <w:spacing w:after="55" w:before="0" w:line="264"/>
            </w:pPr>
            <w:r>
              <w:rPr>
                <w:rFonts w:ascii="Arial" w:cs="Arial" w:eastAsia="Malgun Gothic" w:hAnsi="Arial"/>
                <w:b w:val="false"/>
                <w:bCs w:val="false"/>
                <w:i w:val="false"/>
                <w:iCs w:val="false"/>
                <w:color w:val="1D1D1D"/>
                <w:sz w:val="21"/>
                <w:szCs w:val="21"/>
              </w:rPr>
              <w:t xml:space="preserve">1.  Prepare an income statement for each year assuming revenue is recognized </w:t>
            </w:r>
            <w:r>
              <w:rPr>
                <w:rFonts w:ascii="Arial" w:cs="Arial" w:eastAsia="Malgun Gothic" w:hAnsi="Arial"/>
                <w:b/>
                <w:bCs/>
                <w:i w:val="false"/>
                <w:iCs w:val="false"/>
                <w:color w:val="1D1D1D"/>
                <w:sz w:val="21"/>
                <w:szCs w:val="21"/>
              </w:rPr>
              <w:t xml:space="preserve">at a point in time</w:t>
            </w:r>
            <w:r>
              <w:rPr>
                <w:rFonts w:ascii="Arial" w:cs="Arial" w:eastAsia="Malgun Gothic" w:hAnsi="Arial"/>
                <w:b w:val="false"/>
                <w:bCs w:val="false"/>
                <w:i w:val="false"/>
                <w:iCs w:val="false"/>
                <w:color w:val="1D1D1D"/>
                <w:sz w:val="21"/>
                <w:szCs w:val="21"/>
              </w:rPr>
              <w:t xml:space="preserve">.</w:t>
            </w:r>
          </w:p>
          <w:p>
            <w:pPr>
              <w:spacing w:after="55" w:before="0" w:line="264"/>
            </w:pPr>
            <w:r>
              <w:rPr>
                <w:rFonts w:ascii="Arial" w:cs="Arial" w:eastAsia="Malgun Gothic" w:hAnsi="Arial"/>
                <w:b w:val="false"/>
                <w:bCs w:val="false"/>
                <w:i w:val="false"/>
                <w:iCs w:val="false"/>
                <w:color w:val="1D1D1D"/>
                <w:sz w:val="21"/>
                <w:szCs w:val="21"/>
              </w:rPr>
              <w:t xml:space="preserve">2.  Prepare an income statement for each year assuming revenue is recognized </w:t>
            </w:r>
            <w:r>
              <w:rPr>
                <w:rFonts w:ascii="Arial" w:cs="Arial" w:eastAsia="Malgun Gothic" w:hAnsi="Arial"/>
                <w:b/>
                <w:bCs/>
                <w:i w:val="false"/>
                <w:iCs w:val="false"/>
                <w:color w:val="1D1D1D"/>
                <w:sz w:val="21"/>
                <w:szCs w:val="21"/>
              </w:rPr>
              <w:t xml:space="preserve">over time</w:t>
            </w:r>
            <w:r>
              <w:rPr>
                <w:rFonts w:ascii="Arial" w:cs="Arial" w:eastAsia="Malgun Gothic" w:hAnsi="Arial"/>
                <w:b w:val="false"/>
                <w:bCs w:val="false"/>
                <w:i w:val="false"/>
                <w:iCs w:val="false"/>
                <w:color w:val="1D1D1D"/>
                <w:sz w:val="21"/>
                <w:szCs w:val="21"/>
              </w:rPr>
              <w:t xml:space="preserve">, based on the percentage of costs incurred.</w:t>
            </w:r>
          </w:p>
          <w:p>
            <w:pPr>
              <w:spacing w:after="0" w:before="0" w:line="264"/>
            </w:pPr>
            <w:r>
              <w:rPr>
                <w:rFonts w:ascii="Arial" w:cs="Arial" w:eastAsia="Malgun Gothic" w:hAnsi="Arial"/>
                <w:b w:val="false"/>
                <w:bCs w:val="false"/>
                <w:i w:val="false"/>
                <w:iCs w:val="false"/>
                <w:color w:val="1D1D1D"/>
                <w:sz w:val="21"/>
                <w:szCs w:val="21"/>
              </w:rPr>
              <w:t xml:space="preserve">3.  Which set of income statements best reflects the actual performance of the company? Why?</w:t>
            </w:r>
          </w:p>
        </w:tc>
      </w:tr>
    </w:tbl>
    <w:p>
      <w:pPr>
        <w:spacing w:after="15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30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P5.99  ·  NRV Computation and Presentation</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Problem</w:t>
            </w:r>
          </w:p>
          <w:p>
            <w:pPr>
              <w:spacing w:after="55" w:before="0" w:line="264"/>
            </w:pPr>
            <w:r>
              <w:rPr>
                <w:rFonts w:ascii="Arial" w:cs="Arial" w:eastAsia="Malgun Gothic" w:hAnsi="Arial"/>
                <w:b w:val="false"/>
                <w:bCs w:val="false"/>
                <w:i w:val="false"/>
                <w:iCs w:val="false"/>
                <w:color w:val="1D1D1D"/>
                <w:sz w:val="21"/>
                <w:szCs w:val="21"/>
              </w:rPr>
              <w:t xml:space="preserve">River Co. reports the following at 12/31/2025:</w:t>
            </w:r>
          </w:p>
          <w:p>
            <w:pPr>
              <w:spacing w:after="55" w:before="0" w:line="264"/>
            </w:pPr>
            <w:r>
              <w:rPr>
                <w:rFonts w:ascii="Arial" w:cs="Arial" w:eastAsia="Malgun Gothic" w:hAnsi="Arial"/>
                <w:b w:val="false"/>
                <w:bCs w:val="false"/>
                <w:i w:val="false"/>
                <w:iCs w:val="false"/>
                <w:color w:val="1D1D1D"/>
                <w:sz w:val="21"/>
                <w:szCs w:val="21"/>
              </w:rPr>
              <w:t xml:space="preserve">·  Accounts receivable (gross): </w:t>
            </w:r>
            <w:r>
              <w:rPr>
                <w:rFonts w:ascii="Arial" w:cs="Arial" w:eastAsia="Malgun Gothic" w:hAnsi="Arial"/>
                <w:b/>
                <w:bCs/>
                <w:i w:val="false"/>
                <w:iCs w:val="false"/>
                <w:color w:val="1D1D1D"/>
                <w:sz w:val="21"/>
                <w:szCs w:val="21"/>
              </w:rPr>
              <w:t xml:space="preserve">$250,000</w:t>
            </w:r>
          </w:p>
          <w:p>
            <w:pPr>
              <w:spacing w:after="55" w:before="0" w:line="264"/>
            </w:pPr>
            <w:r>
              <w:rPr>
                <w:rFonts w:ascii="Arial" w:cs="Arial" w:eastAsia="Malgun Gothic" w:hAnsi="Arial"/>
                <w:b w:val="false"/>
                <w:bCs w:val="false"/>
                <w:i w:val="false"/>
                <w:iCs w:val="false"/>
                <w:color w:val="1D1D1D"/>
                <w:sz w:val="21"/>
                <w:szCs w:val="21"/>
              </w:rPr>
              <w:t xml:space="preserve">·  Estimated uncollectible accounts: </w:t>
            </w:r>
            <w:r>
              <w:rPr>
                <w:rFonts w:ascii="Arial" w:cs="Arial" w:eastAsia="Malgun Gothic" w:hAnsi="Arial"/>
                <w:b/>
                <w:bCs/>
                <w:i w:val="false"/>
                <w:iCs w:val="false"/>
                <w:color w:val="1D1D1D"/>
                <w:sz w:val="21"/>
                <w:szCs w:val="21"/>
              </w:rPr>
              <w:t xml:space="preserve">5% of gross A/R</w:t>
            </w:r>
          </w:p>
          <w:p>
            <w:pPr>
              <w:spacing w:after="55" w:before="0" w:line="264"/>
            </w:pPr>
            <w:r>
              <w:rPr>
                <w:rFonts w:ascii="Arial" w:cs="Arial" w:eastAsia="Malgun Gothic" w:hAnsi="Arial"/>
                <w:b w:val="false"/>
                <w:bCs w:val="false"/>
                <w:i w:val="false"/>
                <w:iCs w:val="false"/>
                <w:color w:val="1D1D1D"/>
                <w:sz w:val="21"/>
                <w:szCs w:val="21"/>
              </w:rPr>
              <w:t xml:space="preserve">·  Expected customer returns: </w:t>
            </w:r>
            <w:r>
              <w:rPr>
                <w:rFonts w:ascii="Arial" w:cs="Arial" w:eastAsia="Malgun Gothic" w:hAnsi="Arial"/>
                <w:b/>
                <w:bCs/>
                <w:i w:val="false"/>
                <w:iCs w:val="false"/>
                <w:color w:val="1D1D1D"/>
                <w:sz w:val="21"/>
                <w:szCs w:val="21"/>
              </w:rPr>
              <w:t xml:space="preserve">$6,000</w:t>
            </w:r>
          </w:p>
          <w:p>
            <w:pPr>
              <w:spacing w:after="0" w:before="0" w:line="264"/>
            </w:pPr>
            <w:r>
              <w:rPr>
                <w:rFonts w:ascii="Arial" w:cs="Arial" w:eastAsia="Malgun Gothic" w:hAnsi="Arial"/>
                <w:b/>
                <w:bCs/>
                <w:i w:val="false"/>
                <w:iCs w:val="false"/>
                <w:color w:val="1D1D1D"/>
                <w:sz w:val="21"/>
                <w:szCs w:val="21"/>
              </w:rPr>
              <w:t xml:space="preserve">(a)</w:t>
            </w:r>
            <w:r>
              <w:rPr>
                <w:rFonts w:ascii="Arial" w:cs="Arial" w:eastAsia="Malgun Gothic" w:hAnsi="Arial"/>
                <w:b w:val="false"/>
                <w:bCs w:val="false"/>
                <w:i w:val="false"/>
                <w:iCs w:val="false"/>
                <w:color w:val="1D1D1D"/>
                <w:sz w:val="21"/>
                <w:szCs w:val="21"/>
              </w:rPr>
              <w:t xml:space="preserve"> Compute net realizable value (NRV) at 12/31/2025.   </w:t>
            </w:r>
            <w:r>
              <w:rPr>
                <w:rFonts w:ascii="Arial" w:cs="Arial" w:eastAsia="Malgun Gothic" w:hAnsi="Arial"/>
                <w:b/>
                <w:bCs/>
                <w:i w:val="false"/>
                <w:iCs w:val="false"/>
                <w:color w:val="1D1D1D"/>
                <w:sz w:val="21"/>
                <w:szCs w:val="21"/>
              </w:rPr>
              <w:t xml:space="preserve">(b)</w:t>
            </w:r>
            <w:r>
              <w:rPr>
                <w:rFonts w:ascii="Arial" w:cs="Arial" w:eastAsia="Malgun Gothic" w:hAnsi="Arial"/>
                <w:b w:val="false"/>
                <w:bCs w:val="false"/>
                <w:i w:val="false"/>
                <w:iCs w:val="false"/>
                <w:color w:val="1D1D1D"/>
                <w:sz w:val="21"/>
                <w:szCs w:val="21"/>
              </w:rPr>
              <w:t xml:space="preserve"> Show the balance sheet presentation.</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32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Malgun Gothic" w:hAnsi="Arial"/>
        <w:b w:val="false"/>
        <w:bCs w:val="false"/>
        <w:i w:val="false"/>
        <w:iCs w:val="false"/>
        <w:color w:val="767676"/>
        <w:sz w:val="15"/>
        <w:szCs w:val="15"/>
      </w:rPr>
      <w:t xml:space="preserve">Chapter 6  ·  Revenue Recognition and Accounts Receivable          </w:t>
    </w:r>
    <w:r>
      <w:rPr>
        <w:rFonts w:ascii="Arial" w:cs="Arial" w:eastAsia="Malgun Gothic" w:hAnsi="Arial"/>
        <w:color w:val="7676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removePersonalInformation/>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D1D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2026-08-04T07:14:18.146Z</dcterms:created>
  <dcterms:modified xsi:type="dcterms:W3CDTF">2026-08-04T07:14:18.146Z</dcterms:modified>
</cp:coreProperties>
</file>

<file path=docProps/custom.xml><?xml version="1.0" encoding="utf-8"?>
<Properties xmlns="http://schemas.openxmlformats.org/officeDocument/2006/custom-properties" xmlns:vt="http://schemas.openxmlformats.org/officeDocument/2006/docPropsVTypes"/>
</file>