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 w:line="330"/>
        <w:jc w:val="center"/>
      </w:pPr>
      <w:r>
        <w:rPr>
          <w:rFonts w:ascii="Arial" w:cs="Arial" w:eastAsia="Malgun Gothic" w:hAnsi="Arial"/>
          <w:b/>
          <w:bCs/>
          <w:i w:val="false"/>
          <w:iCs w:val="false"/>
          <w:color w:val="1F4899"/>
          <w:sz w:val="38"/>
          <w:szCs w:val="38"/>
        </w:rPr>
        <w:t xml:space="preserve">Chapter 6 — Revenue Recognition and Accounts Receivable</w:t>
      </w:r>
    </w:p>
    <w:p>
      <w:pPr>
        <w:pBdr>
          <w:bottom w:val="single" w:color="1F4899" w:sz="10" w:space="6"/>
        </w:pBdr>
        <w:spacing w:after="240" w:line="240"/>
        <w:jc w:val="center"/>
      </w:pPr>
      <w:r>
        <w:rPr>
          <w:rFonts w:ascii="Arial" w:cs="Arial" w:eastAsia="Malgun Gothic" w:hAnsi="Arial"/>
          <w:b w:val="false"/>
          <w:bCs w:val="false"/>
          <w:i w:val="false"/>
          <w:iCs w:val="false"/>
          <w:color w:val="1F4899"/>
          <w:sz w:val="22"/>
          <w:szCs w:val="22"/>
        </w:rPr>
        <w:t xml:space="preserve">Homework Solutions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E5.12  ·  Revenue Recognition Policy Decisions</w:t>
            </w:r>
          </w:p>
        </w:tc>
      </w:tr>
    </w:tbl>
    <w:p>
      <w:pPr>
        <w:spacing w:after="150" w:line="60"/>
      </w:pPr>
    </w:p>
    <w:p>
      <w:pPr>
        <w:spacing w:after="90" w:before="0" w:line="264"/>
      </w:pPr>
      <w:r>
        <w:rPr>
          <w:rFonts w:ascii="Arial" w:cs="Arial" w:eastAsia="Malgun Gothic" w:hAnsi="Arial"/>
          <w:b w:val="false"/>
          <w:bCs w:val="false"/>
          <w:i w:val="false"/>
          <w:iCs w:val="false"/>
          <w:color w:val="1D1D1D"/>
          <w:sz w:val="21"/>
          <w:szCs w:val="21"/>
        </w:rPr>
        <w:t xml:space="preserve">Consider the following independent situations. For each, describe the revenue recognition policy the company should follow, explaining the basis for your recommendation.</w:t>
      </w: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1.  Lifetime health club membership</w:t>
            </w:r>
          </w:p>
          <w:p>
            <w:pPr>
              <w:spacing w:after="0" w:before="0" w:line="264"/>
            </w:pPr>
            <w:r>
              <w:rPr>
                <w:rFonts w:ascii="Arial" w:cs="Arial" w:eastAsia="Malgun Gothic" w:hAnsi="Arial"/>
                <w:b w:val="false"/>
                <w:bCs w:val="false"/>
                <w:i w:val="false"/>
                <w:iCs w:val="false"/>
                <w:color w:val="1D1D1D"/>
                <w:sz w:val="21"/>
                <w:szCs w:val="21"/>
              </w:rPr>
              <w:t xml:space="preserve">An international health club sells lifetime memberships costing </w:t>
            </w:r>
            <w:r>
              <w:rPr>
                <w:rFonts w:ascii="Arial" w:cs="Arial" w:eastAsia="Malgun Gothic" w:hAnsi="Arial"/>
                <w:b/>
                <w:bCs/>
                <w:i w:val="false"/>
                <w:iCs w:val="false"/>
                <w:color w:val="1D1D1D"/>
                <w:sz w:val="21"/>
                <w:szCs w:val="21"/>
              </w:rPr>
              <w:t xml:space="preserve">$1,500</w:t>
            </w:r>
            <w:r>
              <w:rPr>
                <w:rFonts w:ascii="Arial" w:cs="Arial" w:eastAsia="Malgun Gothic" w:hAnsi="Arial"/>
                <w:b w:val="false"/>
                <w:bCs w:val="false"/>
                <w:i w:val="false"/>
                <w:iCs w:val="false"/>
                <w:color w:val="1D1D1D"/>
                <w:sz w:val="21"/>
                <w:szCs w:val="21"/>
              </w:rPr>
              <w:t xml:space="preserve">, allowing the purchaser unlimited use of any of the club’s 300 facilities around the world. The initiation fee may be paid in 36 monthly installments, with a 2 percent interest charge on any unpaid balance.</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Suggested answer</w:t>
            </w:r>
          </w:p>
          <w:p>
            <w:pPr>
              <w:spacing w:after="0" w:before="0" w:line="264"/>
            </w:pPr>
            <w:r>
              <w:rPr>
                <w:rFonts w:ascii="Arial" w:cs="Arial" w:eastAsia="Malgun Gothic" w:hAnsi="Arial"/>
                <w:b w:val="false"/>
                <w:bCs w:val="false"/>
                <w:i w:val="false"/>
                <w:iCs w:val="false"/>
                <w:color w:val="1D1D1D"/>
                <w:sz w:val="21"/>
                <w:szCs w:val="21"/>
              </w:rPr>
              <w:t xml:space="preserve">ASC 606 requires </w:t>
            </w:r>
            <w:r>
              <w:rPr>
                <w:rFonts w:ascii="Arial" w:cs="Arial" w:eastAsia="Malgun Gothic" w:hAnsi="Arial"/>
                <w:b/>
                <w:bCs/>
                <w:i w:val="false"/>
                <w:iCs w:val="false"/>
                <w:color w:val="1D1D1D"/>
                <w:sz w:val="21"/>
                <w:szCs w:val="21"/>
              </w:rPr>
              <w:t xml:space="preserve">pro-rata recognition</w:t>
            </w:r>
            <w:r>
              <w:rPr>
                <w:rFonts w:ascii="Arial" w:cs="Arial" w:eastAsia="Malgun Gothic" w:hAnsi="Arial"/>
                <w:b w:val="false"/>
                <w:bCs w:val="false"/>
                <w:i w:val="false"/>
                <w:iCs w:val="false"/>
                <w:color w:val="1D1D1D"/>
                <w:sz w:val="21"/>
                <w:szCs w:val="21"/>
              </w:rPr>
              <w:t xml:space="preserve"> of such fees over the life of the contract. Where receipt of full payment is in doubt, an </w:t>
            </w:r>
            <w:r>
              <w:rPr>
                <w:rFonts w:ascii="Arial" w:cs="Arial" w:eastAsia="Malgun Gothic" w:hAnsi="Arial"/>
                <w:b/>
                <w:bCs/>
                <w:i w:val="false"/>
                <w:iCs w:val="false"/>
                <w:color w:val="1D1D1D"/>
                <w:sz w:val="21"/>
                <w:szCs w:val="21"/>
              </w:rPr>
              <w:t xml:space="preserve">installment basis</w:t>
            </w:r>
            <w:r>
              <w:rPr>
                <w:rFonts w:ascii="Arial" w:cs="Arial" w:eastAsia="Malgun Gothic" w:hAnsi="Arial"/>
                <w:b w:val="false"/>
                <w:bCs w:val="false"/>
                <w:i w:val="false"/>
                <w:iCs w:val="false"/>
                <w:color w:val="1D1D1D"/>
                <w:sz w:val="21"/>
                <w:szCs w:val="21"/>
              </w:rPr>
              <w:t xml:space="preserve"> approach would be preferable.</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2.  Extended vehicle warranty</w:t>
            </w:r>
          </w:p>
          <w:p>
            <w:pPr>
              <w:spacing w:after="0" w:before="0" w:line="264"/>
            </w:pPr>
            <w:r>
              <w:rPr>
                <w:rFonts w:ascii="Arial" w:cs="Arial" w:eastAsia="Malgun Gothic" w:hAnsi="Arial"/>
                <w:b w:val="false"/>
                <w:bCs w:val="false"/>
                <w:i w:val="false"/>
                <w:iCs w:val="false"/>
                <w:color w:val="1D1D1D"/>
                <w:sz w:val="21"/>
                <w:szCs w:val="21"/>
              </w:rPr>
              <w:t xml:space="preserve">Franklin Motors, Inc. has always offered a limited, 36-month warranty on its cars and trucks. To counter competition, the company developed a new warranty program: for a </w:t>
            </w:r>
            <w:r>
              <w:rPr>
                <w:rFonts w:ascii="Arial" w:cs="Arial" w:eastAsia="Malgun Gothic" w:hAnsi="Arial"/>
                <w:b/>
                <w:bCs/>
                <w:i w:val="false"/>
                <w:iCs w:val="false"/>
                <w:color w:val="1D1D1D"/>
                <w:sz w:val="21"/>
                <w:szCs w:val="21"/>
              </w:rPr>
              <w:t xml:space="preserve">$1,500</w:t>
            </w:r>
            <w:r>
              <w:rPr>
                <w:rFonts w:ascii="Arial" w:cs="Arial" w:eastAsia="Malgun Gothic" w:hAnsi="Arial"/>
                <w:b w:val="false"/>
                <w:bCs w:val="false"/>
                <w:i w:val="false"/>
                <w:iCs w:val="false"/>
                <w:color w:val="1D1D1D"/>
                <w:sz w:val="21"/>
                <w:szCs w:val="21"/>
              </w:rPr>
              <w:t xml:space="preserve"> payment at the time of purchase, a customer can buy a seven-year warranty covering replacement of almost all parts and labor. The purchased warranty expires at the end of seven years or when the customer sells the vehicle, whichever occurs first.</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Suggested answer</w:t>
            </w:r>
          </w:p>
          <w:p>
            <w:pPr>
              <w:spacing w:after="55" w:before="0" w:line="264"/>
            </w:pPr>
            <w:r>
              <w:rPr>
                <w:rFonts w:ascii="Arial" w:cs="Arial" w:eastAsia="Malgun Gothic" w:hAnsi="Arial"/>
                <w:b w:val="false"/>
                <w:bCs w:val="false"/>
                <w:i w:val="false"/>
                <w:iCs w:val="false"/>
                <w:color w:val="1D1D1D"/>
                <w:sz w:val="21"/>
                <w:szCs w:val="21"/>
              </w:rPr>
              <w:t xml:space="preserve">Under ASC 606, </w:t>
            </w:r>
            <w:r>
              <w:rPr>
                <w:rFonts w:ascii="Arial" w:cs="Arial" w:eastAsia="Malgun Gothic" w:hAnsi="Arial"/>
                <w:b w:val="false"/>
                <w:bCs w:val="false"/>
                <w:i/>
                <w:iCs/>
                <w:color w:val="1D1D1D"/>
                <w:sz w:val="21"/>
                <w:szCs w:val="21"/>
              </w:rPr>
              <w:t xml:space="preserve">Revenue from Contracts with Customers</w:t>
            </w:r>
            <w:r>
              <w:rPr>
                <w:rFonts w:ascii="Arial" w:cs="Arial" w:eastAsia="Malgun Gothic" w:hAnsi="Arial"/>
                <w:b w:val="false"/>
                <w:bCs w:val="false"/>
                <w:i w:val="false"/>
                <w:iCs w:val="false"/>
                <w:color w:val="1D1D1D"/>
                <w:sz w:val="21"/>
                <w:szCs w:val="21"/>
              </w:rPr>
              <w:t xml:space="preserve">, there are two types of warranties. An </w:t>
            </w:r>
            <w:r>
              <w:rPr>
                <w:rFonts w:ascii="Arial" w:cs="Arial" w:eastAsia="Malgun Gothic" w:hAnsi="Arial"/>
                <w:b/>
                <w:bCs/>
                <w:i w:val="false"/>
                <w:iCs w:val="false"/>
                <w:color w:val="1D1D1D"/>
                <w:sz w:val="21"/>
                <w:szCs w:val="21"/>
              </w:rPr>
              <w:t xml:space="preserve">assurance warranty</w:t>
            </w:r>
            <w:r>
              <w:rPr>
                <w:rFonts w:ascii="Arial" w:cs="Arial" w:eastAsia="Malgun Gothic" w:hAnsi="Arial"/>
                <w:b w:val="false"/>
                <w:bCs w:val="false"/>
                <w:i w:val="false"/>
                <w:iCs w:val="false"/>
                <w:color w:val="1D1D1D"/>
                <w:sz w:val="21"/>
                <w:szCs w:val="21"/>
              </w:rPr>
              <w:t xml:space="preserve"> guarantees that the product works as promised and is not sold separately. A </w:t>
            </w:r>
            <w:r>
              <w:rPr>
                <w:rFonts w:ascii="Arial" w:cs="Arial" w:eastAsia="Malgun Gothic" w:hAnsi="Arial"/>
                <w:b/>
                <w:bCs/>
                <w:i w:val="false"/>
                <w:iCs w:val="false"/>
                <w:color w:val="1D1D1D"/>
                <w:sz w:val="21"/>
                <w:szCs w:val="21"/>
              </w:rPr>
              <w:t xml:space="preserve">service warranty</w:t>
            </w:r>
            <w:r>
              <w:rPr>
                <w:rFonts w:ascii="Arial" w:cs="Arial" w:eastAsia="Malgun Gothic" w:hAnsi="Arial"/>
                <w:b w:val="false"/>
                <w:bCs w:val="false"/>
                <w:i w:val="false"/>
                <w:iCs w:val="false"/>
                <w:color w:val="1D1D1D"/>
                <w:sz w:val="21"/>
                <w:szCs w:val="21"/>
              </w:rPr>
              <w:t xml:space="preserve"> provides the consumer with a separate service and is sold separately.</w:t>
            </w:r>
          </w:p>
          <w:p>
            <w:pPr>
              <w:spacing w:after="55" w:before="0" w:line="264"/>
            </w:pPr>
            <w:r>
              <w:rPr>
                <w:rFonts w:ascii="Arial" w:cs="Arial" w:eastAsia="Malgun Gothic" w:hAnsi="Arial"/>
                <w:b w:val="false"/>
                <w:bCs w:val="false"/>
                <w:i w:val="false"/>
                <w:iCs w:val="false"/>
                <w:color w:val="1D1D1D"/>
                <w:sz w:val="21"/>
                <w:szCs w:val="21"/>
              </w:rPr>
              <w:t xml:space="preserve">Assurance warranties are usually part of the same performance obligation as the sale. Service warranties are </w:t>
            </w:r>
            <w:r>
              <w:rPr>
                <w:rFonts w:ascii="Arial" w:cs="Arial" w:eastAsia="Malgun Gothic" w:hAnsi="Arial"/>
                <w:b/>
                <w:bCs/>
                <w:i w:val="false"/>
                <w:iCs w:val="false"/>
                <w:color w:val="1D1D1D"/>
                <w:sz w:val="21"/>
                <w:szCs w:val="21"/>
              </w:rPr>
              <w:t xml:space="preserve">separate performance obligations</w:t>
            </w:r>
            <w:r>
              <w:rPr>
                <w:rFonts w:ascii="Arial" w:cs="Arial" w:eastAsia="Malgun Gothic" w:hAnsi="Arial"/>
                <w:b w:val="false"/>
                <w:bCs w:val="false"/>
                <w:i w:val="false"/>
                <w:iCs w:val="false"/>
                <w:color w:val="1D1D1D"/>
                <w:sz w:val="21"/>
                <w:szCs w:val="21"/>
              </w:rPr>
              <w:t xml:space="preserve"> as long as they can be purchased separately by the customer — which is true here. Consequently, revenue from the service warranty is recognized separately from revenue on the product.</w:t>
            </w:r>
          </w:p>
          <w:p>
            <w:pPr>
              <w:spacing w:after="0" w:before="0" w:line="264"/>
            </w:pPr>
            <w:r>
              <w:rPr>
                <w:rFonts w:ascii="Arial" w:cs="Arial" w:eastAsia="Malgun Gothic" w:hAnsi="Arial"/>
                <w:b w:val="false"/>
                <w:bCs w:val="false"/>
                <w:i w:val="false"/>
                <w:iCs w:val="false"/>
                <w:color w:val="1D1D1D"/>
                <w:sz w:val="21"/>
                <w:szCs w:val="21"/>
              </w:rPr>
              <w:t xml:space="preserve">Given that the $1,500 is paid in full at the time of purchase, a </w:t>
            </w:r>
            <w:r>
              <w:rPr>
                <w:rFonts w:ascii="Arial" w:cs="Arial" w:eastAsia="Malgun Gothic" w:hAnsi="Arial"/>
                <w:b/>
                <w:bCs/>
                <w:i w:val="false"/>
                <w:iCs w:val="false"/>
                <w:color w:val="1D1D1D"/>
                <w:sz w:val="21"/>
                <w:szCs w:val="21"/>
              </w:rPr>
              <w:t xml:space="preserve">partial recognition</w:t>
            </w:r>
            <w:r>
              <w:rPr>
                <w:rFonts w:ascii="Arial" w:cs="Arial" w:eastAsia="Malgun Gothic" w:hAnsi="Arial"/>
                <w:b w:val="false"/>
                <w:bCs w:val="false"/>
                <w:i w:val="false"/>
                <w:iCs w:val="false"/>
                <w:color w:val="1D1D1D"/>
                <w:sz w:val="21"/>
                <w:szCs w:val="21"/>
              </w:rPr>
              <w:t xml:space="preserve"> approach is needed: the $1,500 is pro-rated over the warranty period.</w:t>
            </w:r>
          </w:p>
        </w:tc>
      </w:tr>
    </w:tbl>
    <w:p>
      <w:pPr>
        <w:spacing w:after="150" w:line="60"/>
      </w:pPr>
    </w:p>
    <w:p>
      <w:pPr>
        <w:pageBreakBefore/>
        <w:spacing w:after="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3.  Discount coupon books</w:t>
            </w:r>
          </w:p>
          <w:p>
            <w:pPr>
              <w:spacing w:after="0" w:before="0" w:line="264"/>
            </w:pPr>
            <w:r>
              <w:rPr>
                <w:rFonts w:ascii="Arial" w:cs="Arial" w:eastAsia="Malgun Gothic" w:hAnsi="Arial"/>
                <w:b w:val="false"/>
                <w:bCs w:val="false"/>
                <w:i w:val="false"/>
                <w:iCs w:val="false"/>
                <w:color w:val="1D1D1D"/>
                <w:sz w:val="21"/>
                <w:szCs w:val="21"/>
              </w:rPr>
              <w:t xml:space="preserve">Chandler Promotions Inc. sells coupon books giving the holder a 10 percent discount at any of 50 participating merchants. The buyer pays </w:t>
            </w:r>
            <w:r>
              <w:rPr>
                <w:rFonts w:ascii="Arial" w:cs="Arial" w:eastAsia="Malgun Gothic" w:hAnsi="Arial"/>
                <w:b/>
                <w:bCs/>
                <w:i w:val="false"/>
                <w:iCs w:val="false"/>
                <w:color w:val="1D1D1D"/>
                <w:sz w:val="21"/>
                <w:szCs w:val="21"/>
              </w:rPr>
              <w:t xml:space="preserve">$25</w:t>
            </w:r>
            <w:r>
              <w:rPr>
                <w:rFonts w:ascii="Arial" w:cs="Arial" w:eastAsia="Malgun Gothic" w:hAnsi="Arial"/>
                <w:b w:val="false"/>
                <w:bCs w:val="false"/>
                <w:i w:val="false"/>
                <w:iCs w:val="false"/>
                <w:color w:val="1D1D1D"/>
                <w:sz w:val="21"/>
                <w:szCs w:val="21"/>
              </w:rPr>
              <w:t xml:space="preserve"> for the book but can realize up to </w:t>
            </w:r>
            <w:r>
              <w:rPr>
                <w:rFonts w:ascii="Arial" w:cs="Arial" w:eastAsia="Malgun Gothic" w:hAnsi="Arial"/>
                <w:b/>
                <w:bCs/>
                <w:i w:val="false"/>
                <w:iCs w:val="false"/>
                <w:color w:val="1D1D1D"/>
                <w:sz w:val="21"/>
                <w:szCs w:val="21"/>
              </w:rPr>
              <w:t xml:space="preserve">$500</w:t>
            </w:r>
            <w:r>
              <w:rPr>
                <w:rFonts w:ascii="Arial" w:cs="Arial" w:eastAsia="Malgun Gothic" w:hAnsi="Arial"/>
                <w:b w:val="false"/>
                <w:bCs w:val="false"/>
                <w:i w:val="false"/>
                <w:iCs w:val="false"/>
                <w:color w:val="1D1D1D"/>
                <w:sz w:val="21"/>
                <w:szCs w:val="21"/>
              </w:rPr>
              <w:t xml:space="preserve"> in savings. Chandler convinces merchants to participate at no cost, arguing that participation will build customer traffic and create repeat business.</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Suggested answer</w:t>
            </w:r>
          </w:p>
          <w:p>
            <w:pPr>
              <w:spacing w:after="0" w:before="0" w:line="264"/>
            </w:pPr>
            <w:r>
              <w:rPr>
                <w:rFonts w:ascii="Arial" w:cs="Arial" w:eastAsia="Malgun Gothic" w:hAnsi="Arial"/>
                <w:b w:val="false"/>
                <w:bCs w:val="false"/>
                <w:i w:val="false"/>
                <w:iCs w:val="false"/>
                <w:color w:val="1D1D1D"/>
                <w:sz w:val="21"/>
                <w:szCs w:val="21"/>
              </w:rPr>
              <w:t xml:space="preserve">Chandler Promotions should recognize revenue from the sale of the coupon books </w:t>
            </w:r>
            <w:r>
              <w:rPr>
                <w:rFonts w:ascii="Arial" w:cs="Arial" w:eastAsia="Malgun Gothic" w:hAnsi="Arial"/>
                <w:b/>
                <w:bCs/>
                <w:i w:val="false"/>
                <w:iCs w:val="false"/>
                <w:color w:val="1D1D1D"/>
                <w:sz w:val="21"/>
                <w:szCs w:val="21"/>
              </w:rPr>
              <w:t xml:space="preserve">at the point of sale</w:t>
            </w:r>
            <w:r>
              <w:rPr>
                <w:rFonts w:ascii="Arial" w:cs="Arial" w:eastAsia="Malgun Gothic" w:hAnsi="Arial"/>
                <w:b w:val="false"/>
                <w:bCs w:val="false"/>
                <w:i w:val="false"/>
                <w:iCs w:val="false"/>
                <w:color w:val="1D1D1D"/>
                <w:sz w:val="21"/>
                <w:szCs w:val="21"/>
              </w:rPr>
              <w:t xml:space="preserve">, since the company retains no further liability to either the merchants or the coupon-book buyer.</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4.  Deferred-payment furniture sales</w:t>
            </w:r>
          </w:p>
          <w:p>
            <w:pPr>
              <w:spacing w:after="0" w:before="0" w:line="264"/>
            </w:pPr>
            <w:r>
              <w:rPr>
                <w:rFonts w:ascii="Arial" w:cs="Arial" w:eastAsia="Malgun Gothic" w:hAnsi="Arial"/>
                <w:b w:val="false"/>
                <w:bCs w:val="false"/>
                <w:i w:val="false"/>
                <w:iCs w:val="false"/>
                <w:color w:val="1D1D1D"/>
                <w:sz w:val="21"/>
                <w:szCs w:val="21"/>
              </w:rPr>
              <w:t xml:space="preserve">Comfort Furniture sells household furniture. Customers can pay at the time of delivery or wait one year to make payment. In the latter case, the customer must pay the retail price plus an additional 16 percent. Should Comfort Furniture report the additional 16 percent as part of revenue from selling the furniture, or separately? Assume collectibility is not an issue.</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Suggested answer</w:t>
            </w:r>
          </w:p>
          <w:p>
            <w:pPr>
              <w:spacing w:after="0" w:before="0" w:line="264"/>
            </w:pPr>
            <w:r>
              <w:rPr>
                <w:rFonts w:ascii="Arial" w:cs="Arial" w:eastAsia="Malgun Gothic" w:hAnsi="Arial"/>
                <w:b w:val="false"/>
                <w:bCs w:val="false"/>
                <w:i w:val="false"/>
                <w:iCs w:val="false"/>
                <w:color w:val="1D1D1D"/>
                <w:sz w:val="21"/>
                <w:szCs w:val="21"/>
              </w:rPr>
              <w:t xml:space="preserve">Comfort Furniture should recognize revenue from the sale </w:t>
            </w:r>
            <w:r>
              <w:rPr>
                <w:rFonts w:ascii="Arial" w:cs="Arial" w:eastAsia="Malgun Gothic" w:hAnsi="Arial"/>
                <w:b/>
                <w:bCs/>
                <w:i w:val="false"/>
                <w:iCs w:val="false"/>
                <w:color w:val="1D1D1D"/>
                <w:sz w:val="21"/>
                <w:szCs w:val="21"/>
              </w:rPr>
              <w:t xml:space="preserve">at the point of sale</w:t>
            </w:r>
            <w:r>
              <w:rPr>
                <w:rFonts w:ascii="Arial" w:cs="Arial" w:eastAsia="Malgun Gothic" w:hAnsi="Arial"/>
                <w:b w:val="false"/>
                <w:bCs w:val="false"/>
                <w:i w:val="false"/>
                <w:iCs w:val="false"/>
                <w:color w:val="1D1D1D"/>
                <w:sz w:val="21"/>
                <w:szCs w:val="21"/>
              </w:rPr>
              <w:t xml:space="preserve">, at the price the customer would have paid using cash. Any interest paid is a </w:t>
            </w:r>
            <w:r>
              <w:rPr>
                <w:rFonts w:ascii="Arial" w:cs="Arial" w:eastAsia="Malgun Gothic" w:hAnsi="Arial"/>
                <w:b/>
                <w:bCs/>
                <w:i w:val="false"/>
                <w:iCs w:val="false"/>
                <w:color w:val="1D1D1D"/>
                <w:sz w:val="21"/>
                <w:szCs w:val="21"/>
              </w:rPr>
              <w:t xml:space="preserve">financing component</w:t>
            </w:r>
            <w:r>
              <w:rPr>
                <w:rFonts w:ascii="Arial" w:cs="Arial" w:eastAsia="Malgun Gothic" w:hAnsi="Arial"/>
                <w:b w:val="false"/>
                <w:bCs w:val="false"/>
                <w:i w:val="false"/>
                <w:iCs w:val="false"/>
                <w:color w:val="1D1D1D"/>
                <w:sz w:val="21"/>
                <w:szCs w:val="21"/>
              </w:rPr>
              <w:t xml:space="preserve"> of the sale and must be reported separately as a separate performance obligation. Revenue from the implicit loan is recognized </w:t>
            </w:r>
            <w:r>
              <w:rPr>
                <w:rFonts w:ascii="Arial" w:cs="Arial" w:eastAsia="Malgun Gothic" w:hAnsi="Arial"/>
                <w:b/>
                <w:bCs/>
                <w:i w:val="false"/>
                <w:iCs w:val="false"/>
                <w:color w:val="1D1D1D"/>
                <w:sz w:val="21"/>
                <w:szCs w:val="21"/>
              </w:rPr>
              <w:t xml:space="preserve">over time</w:t>
            </w:r>
            <w:r>
              <w:rPr>
                <w:rFonts w:ascii="Arial" w:cs="Arial" w:eastAsia="Malgun Gothic" w:hAnsi="Arial"/>
                <w:b w:val="false"/>
                <w:bCs w:val="false"/>
                <w:i w:val="false"/>
                <w:iCs w:val="false"/>
                <w:color w:val="1D1D1D"/>
                <w:sz w:val="21"/>
                <w:szCs w:val="21"/>
              </w:rPr>
              <w:t xml:space="preserve">.</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5.  Newspapers with right of return</w:t>
            </w:r>
          </w:p>
          <w:p>
            <w:pPr>
              <w:spacing w:after="0" w:before="0" w:line="264"/>
            </w:pPr>
            <w:r>
              <w:rPr>
                <w:rFonts w:ascii="Arial" w:cs="Arial" w:eastAsia="Malgun Gothic" w:hAnsi="Arial"/>
                <w:b w:val="false"/>
                <w:bCs w:val="false"/>
                <w:i w:val="false"/>
                <w:iCs w:val="false"/>
                <w:color w:val="1D1D1D"/>
                <w:sz w:val="21"/>
                <w:szCs w:val="21"/>
              </w:rPr>
              <w:t xml:space="preserve">Local News, Inc. prints and distributes a weekly newspaper throughout the city. Local stores order a certain number of papers each week and pay on delivery. Local News always takes back any unsold papers and gives the merchant a credit toward future purchases.</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Suggested answer</w:t>
            </w:r>
          </w:p>
          <w:p>
            <w:pPr>
              <w:spacing w:after="0" w:before="0" w:line="264"/>
            </w:pPr>
            <w:r>
              <w:rPr>
                <w:rFonts w:ascii="Arial" w:cs="Arial" w:eastAsia="Malgun Gothic" w:hAnsi="Arial"/>
                <w:b w:val="false"/>
                <w:bCs w:val="false"/>
                <w:i w:val="false"/>
                <w:iCs w:val="false"/>
                <w:color w:val="1D1D1D"/>
                <w:sz w:val="21"/>
                <w:szCs w:val="21"/>
              </w:rPr>
              <w:t xml:space="preserve">Local News, Inc. should recognize the number of newspapers sold each week </w:t>
            </w:r>
            <w:r>
              <w:rPr>
                <w:rFonts w:ascii="Arial" w:cs="Arial" w:eastAsia="Malgun Gothic" w:hAnsi="Arial"/>
                <w:b/>
                <w:bCs/>
                <w:i w:val="false"/>
                <w:iCs w:val="false"/>
                <w:color w:val="1D1D1D"/>
                <w:sz w:val="21"/>
                <w:szCs w:val="21"/>
              </w:rPr>
              <w:t xml:space="preserve">after adjustment for the expected level of returned, unsold papers</w:t>
            </w:r>
            <w:r>
              <w:rPr>
                <w:rFonts w:ascii="Arial" w:cs="Arial" w:eastAsia="Malgun Gothic" w:hAnsi="Arial"/>
                <w:b w:val="false"/>
                <w:bCs w:val="false"/>
                <w:i w:val="false"/>
                <w:iCs w:val="false"/>
                <w:color w:val="1D1D1D"/>
                <w:sz w:val="21"/>
                <w:szCs w:val="21"/>
              </w:rPr>
              <w:t xml:space="preserve">. One could, however, make a case for recognizing revenue after returns are known.</w:t>
            </w:r>
          </w:p>
        </w:tc>
      </w:tr>
    </w:tbl>
    <w:p>
      <w:pPr>
        <w:spacing w:after="150" w:line="60"/>
      </w:pPr>
    </w:p>
    <w:p>
      <w:pPr>
        <w:pageBreakBefore/>
        <w:spacing w:after="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P5.23  ·  Point in Time vs. Over Time Recognition</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Problem</w:t>
            </w:r>
          </w:p>
          <w:p>
            <w:pPr>
              <w:spacing w:after="0" w:before="0" w:line="264"/>
            </w:pPr>
            <w:r>
              <w:rPr>
                <w:rFonts w:ascii="Arial" w:cs="Arial" w:eastAsia="Malgun Gothic" w:hAnsi="Arial"/>
                <w:b w:val="false"/>
                <w:bCs w:val="false"/>
                <w:i w:val="false"/>
                <w:iCs w:val="false"/>
                <w:color w:val="1D1D1D"/>
                <w:sz w:val="21"/>
                <w:szCs w:val="21"/>
              </w:rPr>
              <w:t xml:space="preserve">The Morgan Company won a contract to build a shopping center at a price of </w:t>
            </w:r>
            <w:r>
              <w:rPr>
                <w:rFonts w:ascii="Arial" w:cs="Arial" w:eastAsia="Malgun Gothic" w:hAnsi="Arial"/>
                <w:b/>
                <w:bCs/>
                <w:i w:val="false"/>
                <w:iCs w:val="false"/>
                <w:color w:val="1D1D1D"/>
                <w:sz w:val="21"/>
                <w:szCs w:val="21"/>
              </w:rPr>
              <w:t xml:space="preserve">$450 million</w:t>
            </w:r>
            <w:r>
              <w:rPr>
                <w:rFonts w:ascii="Arial" w:cs="Arial" w:eastAsia="Malgun Gothic" w:hAnsi="Arial"/>
                <w:b w:val="false"/>
                <w:bCs w:val="false"/>
                <w:i w:val="false"/>
                <w:iCs w:val="false"/>
                <w:color w:val="1D1D1D"/>
                <w:sz w:val="21"/>
                <w:szCs w:val="21"/>
              </w:rPr>
              <w:t xml:space="preserve">. The schedule below details the actual costs of construction and the actual cash collections under the contract.</w:t>
            </w:r>
          </w:p>
        </w:tc>
      </w:tr>
    </w:tbl>
    <w:p>
      <w:pPr>
        <w:spacing w:after="90" w:line="60"/>
      </w:pPr>
    </w:p>
    <w:p>
      <w:pPr>
        <w:spacing w:after="0" w:line="60"/>
      </w:pP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2000"/>
        <w:gridCol w:w="3680"/>
        <w:gridCol w:w="3680"/>
      </w:tblGrid>
      <w:tr>
        <w:trPr>
          <w:tblHeader/>
        </w:trPr>
        <w:tc>
          <w:tcPr>
            <w:tcW w:type="dxa" w:w="20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Year</w:t>
            </w:r>
          </w:p>
        </w:tc>
        <w:tc>
          <w:tcPr>
            <w:tcW w:type="dxa" w:w="368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Costs of Construction ($)</w:t>
            </w:r>
          </w:p>
        </w:tc>
        <w:tc>
          <w:tcPr>
            <w:tcW w:type="dxa" w:w="368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Cash Collections from Customer ($)</w:t>
            </w:r>
          </w:p>
        </w:tc>
      </w:tr>
      <w:tr>
        <w:tc>
          <w:tcPr>
            <w:tcW w:type="dxa" w:w="20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Year 1</w:t>
            </w:r>
          </w:p>
        </w:tc>
        <w:tc>
          <w:tcPr>
            <w:tcW w:type="dxa" w:w="368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57,000,000</w:t>
            </w:r>
          </w:p>
        </w:tc>
        <w:tc>
          <w:tcPr>
            <w:tcW w:type="dxa" w:w="368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90,000,000</w:t>
            </w:r>
          </w:p>
        </w:tc>
      </w:tr>
      <w:tr>
        <w:tc>
          <w:tcPr>
            <w:tcW w:type="dxa" w:w="20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Year 2</w:t>
            </w:r>
          </w:p>
        </w:tc>
        <w:tc>
          <w:tcPr>
            <w:tcW w:type="dxa" w:w="368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85,500,000</w:t>
            </w:r>
          </w:p>
        </w:tc>
        <w:tc>
          <w:tcPr>
            <w:tcW w:type="dxa" w:w="368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135,000,000</w:t>
            </w:r>
          </w:p>
        </w:tc>
      </w:tr>
      <w:tr>
        <w:tc>
          <w:tcPr>
            <w:tcW w:type="dxa" w:w="20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Year 3</w:t>
            </w:r>
          </w:p>
        </w:tc>
        <w:tc>
          <w:tcPr>
            <w:tcW w:type="dxa" w:w="368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99,750,000</w:t>
            </w:r>
          </w:p>
        </w:tc>
        <w:tc>
          <w:tcPr>
            <w:tcW w:type="dxa" w:w="368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157,500,000</w:t>
            </w:r>
          </w:p>
        </w:tc>
      </w:tr>
      <w:tr>
        <w:tc>
          <w:tcPr>
            <w:tcW w:type="dxa" w:w="20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Year 4</w:t>
            </w:r>
          </w:p>
        </w:tc>
        <w:tc>
          <w:tcPr>
            <w:tcW w:type="dxa" w:w="368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42,750,000</w:t>
            </w:r>
          </w:p>
        </w:tc>
        <w:tc>
          <w:tcPr>
            <w:tcW w:type="dxa" w:w="368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67,500,000</w:t>
            </w:r>
          </w:p>
        </w:tc>
      </w:tr>
      <w:tr>
        <w:tc>
          <w:tcPr>
            <w:tcW w:type="dxa" w:w="2000"/>
            <w:tcBorders>
              <w:top w:val="single" w:color="1F4899" w:sz="6"/>
            </w:tcBorders>
            <w:shd w:fill="E8EEF8"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bCs/>
                <w:i w:val="false"/>
                <w:iCs w:val="false"/>
                <w:color w:val="1D1D1D"/>
                <w:sz w:val="19"/>
                <w:szCs w:val="19"/>
              </w:rPr>
              <w:t xml:space="preserve">Total</w:t>
            </w:r>
          </w:p>
        </w:tc>
        <w:tc>
          <w:tcPr>
            <w:tcW w:type="dxa" w:w="3680"/>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285,000,000</w:t>
            </w:r>
          </w:p>
        </w:tc>
        <w:tc>
          <w:tcPr>
            <w:tcW w:type="dxa" w:w="3680"/>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450,000,000</w:t>
            </w:r>
          </w:p>
        </w:tc>
      </w:tr>
    </w:tbl>
    <w:p>
      <w:pPr>
        <w:spacing w:after="160" w:line="60"/>
      </w:pPr>
    </w:p>
    <w:tbl>
      <w:tblPr>
        <w:tblW w:type="dxa" w:w="9360"/>
        <w:tblBorders>
          <w:top w:val="single" w:color="F59E0B" w:sz="6"/>
          <w:left w:val="single" w:color="F59E0B" w:sz="6"/>
          <w:bottom w:val="single" w:color="F59E0B" w:sz="6"/>
          <w:right w:val="single" w:color="F59E0B" w:sz="6"/>
          <w:insideH w:val="none" w:color="FFFFFF" w:sz="0"/>
          <w:insideV w:val="none" w:color="FFFFFF" w:sz="0"/>
        </w:tblBorders>
        <w:tblLayout w:type="fixed"/>
      </w:tblPr>
      <w:tblGrid>
        <w:gridCol w:w="9360"/>
      </w:tblGrid>
      <w:tr>
        <w:trPr>
          <w:cantSplit/>
        </w:trPr>
        <w:tc>
          <w:tcPr>
            <w:tcW w:type="dxa" w:w="9360"/>
            <w:shd w:fill="FDF0E3"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C1691F"/>
                <w:sz w:val="22"/>
                <w:szCs w:val="22"/>
              </w:rPr>
              <w:t xml:space="preserve">Required</w:t>
            </w:r>
          </w:p>
          <w:p>
            <w:pPr>
              <w:spacing w:after="55" w:before="0" w:line="264"/>
            </w:pPr>
            <w:r>
              <w:rPr>
                <w:rFonts w:ascii="Arial" w:cs="Arial" w:eastAsia="Malgun Gothic" w:hAnsi="Arial"/>
                <w:b w:val="false"/>
                <w:bCs w:val="false"/>
                <w:i w:val="false"/>
                <w:iCs w:val="false"/>
                <w:color w:val="1D1D1D"/>
                <w:sz w:val="21"/>
                <w:szCs w:val="21"/>
              </w:rPr>
              <w:t xml:space="preserve">1.  Prepare an income statement for each year assuming revenue is recognized </w:t>
            </w:r>
            <w:r>
              <w:rPr>
                <w:rFonts w:ascii="Arial" w:cs="Arial" w:eastAsia="Malgun Gothic" w:hAnsi="Arial"/>
                <w:b/>
                <w:bCs/>
                <w:i w:val="false"/>
                <w:iCs w:val="false"/>
                <w:color w:val="1D1D1D"/>
                <w:sz w:val="21"/>
                <w:szCs w:val="21"/>
              </w:rPr>
              <w:t xml:space="preserve">at a point in time</w:t>
            </w:r>
            <w:r>
              <w:rPr>
                <w:rFonts w:ascii="Arial" w:cs="Arial" w:eastAsia="Malgun Gothic" w:hAnsi="Arial"/>
                <w:b w:val="false"/>
                <w:bCs w:val="false"/>
                <w:i w:val="false"/>
                <w:iCs w:val="false"/>
                <w:color w:val="1D1D1D"/>
                <w:sz w:val="21"/>
                <w:szCs w:val="21"/>
              </w:rPr>
              <w:t xml:space="preserve">.</w:t>
            </w:r>
          </w:p>
          <w:p>
            <w:pPr>
              <w:spacing w:after="55" w:before="0" w:line="264"/>
            </w:pPr>
            <w:r>
              <w:rPr>
                <w:rFonts w:ascii="Arial" w:cs="Arial" w:eastAsia="Malgun Gothic" w:hAnsi="Arial"/>
                <w:b w:val="false"/>
                <w:bCs w:val="false"/>
                <w:i w:val="false"/>
                <w:iCs w:val="false"/>
                <w:color w:val="1D1D1D"/>
                <w:sz w:val="21"/>
                <w:szCs w:val="21"/>
              </w:rPr>
              <w:t xml:space="preserve">2.  Prepare an income statement for each year assuming revenue is recognized </w:t>
            </w:r>
            <w:r>
              <w:rPr>
                <w:rFonts w:ascii="Arial" w:cs="Arial" w:eastAsia="Malgun Gothic" w:hAnsi="Arial"/>
                <w:b/>
                <w:bCs/>
                <w:i w:val="false"/>
                <w:iCs w:val="false"/>
                <w:color w:val="1D1D1D"/>
                <w:sz w:val="21"/>
                <w:szCs w:val="21"/>
              </w:rPr>
              <w:t xml:space="preserve">over time</w:t>
            </w:r>
            <w:r>
              <w:rPr>
                <w:rFonts w:ascii="Arial" w:cs="Arial" w:eastAsia="Malgun Gothic" w:hAnsi="Arial"/>
                <w:b w:val="false"/>
                <w:bCs w:val="false"/>
                <w:i w:val="false"/>
                <w:iCs w:val="false"/>
                <w:color w:val="1D1D1D"/>
                <w:sz w:val="21"/>
                <w:szCs w:val="21"/>
              </w:rPr>
              <w:t xml:space="preserve">, based on the percentage of costs incurred.</w:t>
            </w:r>
          </w:p>
          <w:p>
            <w:pPr>
              <w:spacing w:after="0" w:before="0" w:line="264"/>
            </w:pPr>
            <w:r>
              <w:rPr>
                <w:rFonts w:ascii="Arial" w:cs="Arial" w:eastAsia="Malgun Gothic" w:hAnsi="Arial"/>
                <w:b w:val="false"/>
                <w:bCs w:val="false"/>
                <w:i w:val="false"/>
                <w:iCs w:val="false"/>
                <w:color w:val="1D1D1D"/>
                <w:sz w:val="21"/>
                <w:szCs w:val="21"/>
              </w:rPr>
              <w:t xml:space="preserve">3.  Which set of income statements best reflects the actual performance of the company? Why?</w:t>
            </w:r>
          </w:p>
        </w:tc>
      </w:tr>
    </w:tbl>
    <w:p>
      <w:pPr>
        <w:spacing w:after="150" w:line="60"/>
      </w:pPr>
    </w:p>
    <w:p>
      <w:pPr>
        <w:keepNext/>
        <w:spacing w:after="60" w:line="250"/>
      </w:pPr>
      <w:r>
        <w:rPr>
          <w:rFonts w:ascii="Arial" w:cs="Arial" w:eastAsia="Malgun Gothic" w:hAnsi="Arial"/>
          <w:b/>
          <w:bCs/>
          <w:i w:val="false"/>
          <w:iCs w:val="false"/>
          <w:color w:val="1F4899"/>
          <w:sz w:val="20"/>
          <w:szCs w:val="20"/>
        </w:rPr>
        <w:t xml:space="preserve">1.  Revenue recognition at a point in time ($ thousands)</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2400"/>
        <w:gridCol w:w="1392"/>
        <w:gridCol w:w="1392"/>
        <w:gridCol w:w="1392"/>
        <w:gridCol w:w="1392"/>
        <w:gridCol w:w="1392"/>
      </w:tblGrid>
      <w:tr>
        <w:trPr>
          <w:tblHeader/>
        </w:trPr>
        <w:tc>
          <w:tcPr>
            <w:tcW w:type="dxa" w:w="24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
            </w:r>
          </w:p>
        </w:tc>
        <w:tc>
          <w:tcPr>
            <w:tcW w:type="dxa" w:w="1392"/>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Yr 1</w:t>
            </w:r>
          </w:p>
        </w:tc>
        <w:tc>
          <w:tcPr>
            <w:tcW w:type="dxa" w:w="1392"/>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Yr 2</w:t>
            </w:r>
          </w:p>
        </w:tc>
        <w:tc>
          <w:tcPr>
            <w:tcW w:type="dxa" w:w="1392"/>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Yr 3</w:t>
            </w:r>
          </w:p>
        </w:tc>
        <w:tc>
          <w:tcPr>
            <w:tcW w:type="dxa" w:w="1392"/>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Yr 4</w:t>
            </w:r>
          </w:p>
        </w:tc>
        <w:tc>
          <w:tcPr>
            <w:tcW w:type="dxa" w:w="1392"/>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Total</w:t>
            </w:r>
          </w:p>
        </w:tc>
      </w:tr>
      <w:tr>
        <w:tc>
          <w:tcPr>
            <w:tcW w:type="dxa" w:w="24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Revenues</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450,000</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450,000</w:t>
            </w:r>
          </w:p>
        </w:tc>
      </w:tr>
      <w:tr>
        <w:tc>
          <w:tcPr>
            <w:tcW w:type="dxa" w:w="24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Less: Expenses</w:t>
            </w:r>
          </w:p>
        </w:tc>
        <w:tc>
          <w:tcPr>
            <w:tcW w:type="dxa" w:w="1392"/>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w:t>
            </w:r>
          </w:p>
        </w:tc>
        <w:tc>
          <w:tcPr>
            <w:tcW w:type="dxa" w:w="1392"/>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w:t>
            </w:r>
          </w:p>
        </w:tc>
        <w:tc>
          <w:tcPr>
            <w:tcW w:type="dxa" w:w="1392"/>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w:t>
            </w:r>
          </w:p>
        </w:tc>
        <w:tc>
          <w:tcPr>
            <w:tcW w:type="dxa" w:w="1392"/>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(285,000)</w:t>
            </w:r>
          </w:p>
        </w:tc>
        <w:tc>
          <w:tcPr>
            <w:tcW w:type="dxa" w:w="1392"/>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(285,000)</w:t>
            </w:r>
          </w:p>
        </w:tc>
      </w:tr>
      <w:tr>
        <w:tc>
          <w:tcPr>
            <w:tcW w:type="dxa" w:w="2400"/>
            <w:tcBorders>
              <w:top w:val="single" w:color="1F4899" w:sz="6"/>
            </w:tcBorders>
            <w:shd w:fill="E8EEF8"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bCs/>
                <w:i w:val="false"/>
                <w:iCs w:val="false"/>
                <w:color w:val="1D1D1D"/>
                <w:sz w:val="19"/>
                <w:szCs w:val="19"/>
              </w:rPr>
              <w:t xml:space="preserve">Net income</w:t>
            </w:r>
          </w:p>
        </w:tc>
        <w:tc>
          <w:tcPr>
            <w:tcW w:type="dxa" w:w="1392"/>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w:t>
            </w:r>
          </w:p>
        </w:tc>
        <w:tc>
          <w:tcPr>
            <w:tcW w:type="dxa" w:w="1392"/>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w:t>
            </w:r>
          </w:p>
        </w:tc>
        <w:tc>
          <w:tcPr>
            <w:tcW w:type="dxa" w:w="1392"/>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w:t>
            </w:r>
          </w:p>
        </w:tc>
        <w:tc>
          <w:tcPr>
            <w:tcW w:type="dxa" w:w="1392"/>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165,000</w:t>
            </w:r>
          </w:p>
        </w:tc>
        <w:tc>
          <w:tcPr>
            <w:tcW w:type="dxa" w:w="1392"/>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165,000</w:t>
            </w:r>
          </w:p>
        </w:tc>
      </w:tr>
    </w:tbl>
    <w:p>
      <w:pPr>
        <w:spacing w:after="160" w:line="60"/>
      </w:pPr>
    </w:p>
    <w:p>
      <w:pPr>
        <w:keepNext/>
        <w:spacing w:after="60" w:line="250"/>
      </w:pPr>
      <w:r>
        <w:rPr>
          <w:rFonts w:ascii="Arial" w:cs="Arial" w:eastAsia="Malgun Gothic" w:hAnsi="Arial"/>
          <w:b/>
          <w:bCs/>
          <w:i w:val="false"/>
          <w:iCs w:val="false"/>
          <w:color w:val="1F4899"/>
          <w:sz w:val="20"/>
          <w:szCs w:val="20"/>
        </w:rPr>
        <w:t xml:space="preserve">2.  Revenue recognition over time ($ thousands)</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2400"/>
        <w:gridCol w:w="1392"/>
        <w:gridCol w:w="1392"/>
        <w:gridCol w:w="1392"/>
        <w:gridCol w:w="1392"/>
        <w:gridCol w:w="1392"/>
      </w:tblGrid>
      <w:tr>
        <w:trPr>
          <w:tblHeader/>
        </w:trPr>
        <w:tc>
          <w:tcPr>
            <w:tcW w:type="dxa" w:w="24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
            </w:r>
          </w:p>
        </w:tc>
        <w:tc>
          <w:tcPr>
            <w:tcW w:type="dxa" w:w="1392"/>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Yr 1</w:t>
            </w:r>
          </w:p>
        </w:tc>
        <w:tc>
          <w:tcPr>
            <w:tcW w:type="dxa" w:w="1392"/>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Yr 2</w:t>
            </w:r>
          </w:p>
        </w:tc>
        <w:tc>
          <w:tcPr>
            <w:tcW w:type="dxa" w:w="1392"/>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Yr 3</w:t>
            </w:r>
          </w:p>
        </w:tc>
        <w:tc>
          <w:tcPr>
            <w:tcW w:type="dxa" w:w="1392"/>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Yr 4</w:t>
            </w:r>
          </w:p>
        </w:tc>
        <w:tc>
          <w:tcPr>
            <w:tcW w:type="dxa" w:w="1392"/>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Total</w:t>
            </w:r>
          </w:p>
        </w:tc>
      </w:tr>
      <w:tr>
        <w:tc>
          <w:tcPr>
            <w:tcW w:type="dxa" w:w="24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Percentage complete</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20%</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30%</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35%</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15%</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100%</w:t>
            </w:r>
          </w:p>
        </w:tc>
      </w:tr>
      <w:tr>
        <w:tc>
          <w:tcPr>
            <w:tcW w:type="dxa" w:w="24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Revenues</w:t>
            </w:r>
          </w:p>
        </w:tc>
        <w:tc>
          <w:tcPr>
            <w:tcW w:type="dxa" w:w="1392"/>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90,000</w:t>
            </w:r>
          </w:p>
        </w:tc>
        <w:tc>
          <w:tcPr>
            <w:tcW w:type="dxa" w:w="1392"/>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135,000</w:t>
            </w:r>
          </w:p>
        </w:tc>
        <w:tc>
          <w:tcPr>
            <w:tcW w:type="dxa" w:w="1392"/>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157,500</w:t>
            </w:r>
          </w:p>
        </w:tc>
        <w:tc>
          <w:tcPr>
            <w:tcW w:type="dxa" w:w="1392"/>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67,500</w:t>
            </w:r>
          </w:p>
        </w:tc>
        <w:tc>
          <w:tcPr>
            <w:tcW w:type="dxa" w:w="1392"/>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450,000</w:t>
            </w:r>
          </w:p>
        </w:tc>
      </w:tr>
      <w:tr>
        <w:tc>
          <w:tcPr>
            <w:tcW w:type="dxa" w:w="24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Less: Expenses</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(57,000)</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(85,500)</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(99,750)</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(42,750)</w:t>
            </w:r>
          </w:p>
        </w:tc>
        <w:tc>
          <w:tcPr>
            <w:tcW w:type="dxa" w:w="1392"/>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(285,000)</w:t>
            </w:r>
          </w:p>
        </w:tc>
      </w:tr>
      <w:tr>
        <w:tc>
          <w:tcPr>
            <w:tcW w:type="dxa" w:w="2400"/>
            <w:tcBorders>
              <w:top w:val="single" w:color="1F4899" w:sz="6"/>
            </w:tcBorders>
            <w:shd w:fill="E8EEF8"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bCs/>
                <w:i w:val="false"/>
                <w:iCs w:val="false"/>
                <w:color w:val="1D1D1D"/>
                <w:sz w:val="19"/>
                <w:szCs w:val="19"/>
              </w:rPr>
              <w:t xml:space="preserve">Net income</w:t>
            </w:r>
          </w:p>
        </w:tc>
        <w:tc>
          <w:tcPr>
            <w:tcW w:type="dxa" w:w="1392"/>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33,000</w:t>
            </w:r>
          </w:p>
        </w:tc>
        <w:tc>
          <w:tcPr>
            <w:tcW w:type="dxa" w:w="1392"/>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49,500</w:t>
            </w:r>
          </w:p>
        </w:tc>
        <w:tc>
          <w:tcPr>
            <w:tcW w:type="dxa" w:w="1392"/>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57,750</w:t>
            </w:r>
          </w:p>
        </w:tc>
        <w:tc>
          <w:tcPr>
            <w:tcW w:type="dxa" w:w="1392"/>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24,750</w:t>
            </w:r>
          </w:p>
        </w:tc>
        <w:tc>
          <w:tcPr>
            <w:tcW w:type="dxa" w:w="1392"/>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165,000</w:t>
            </w:r>
          </w:p>
        </w:tc>
      </w:tr>
    </w:tbl>
    <w:p>
      <w:pPr>
        <w:spacing w:after="16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3.  Which best reflects actual performance?</w:t>
            </w:r>
          </w:p>
          <w:p>
            <w:pPr>
              <w:spacing w:after="0" w:before="0" w:line="264"/>
            </w:pPr>
            <w:r>
              <w:rPr>
                <w:rFonts w:ascii="Arial" w:cs="Arial" w:eastAsia="Malgun Gothic" w:hAnsi="Arial"/>
                <w:b/>
                <w:bCs/>
                <w:i w:val="false"/>
                <w:iCs w:val="false"/>
                <w:color w:val="1D1D1D"/>
                <w:sz w:val="21"/>
                <w:szCs w:val="21"/>
              </w:rPr>
              <w:t xml:space="preserve">Revenue recognition over time</w:t>
            </w:r>
            <w:r>
              <w:rPr>
                <w:rFonts w:ascii="Arial" w:cs="Arial" w:eastAsia="Malgun Gothic" w:hAnsi="Arial"/>
                <w:b w:val="false"/>
                <w:bCs w:val="false"/>
                <w:i w:val="false"/>
                <w:iCs w:val="false"/>
                <w:color w:val="1D1D1D"/>
                <w:sz w:val="21"/>
                <w:szCs w:val="21"/>
              </w:rPr>
              <w:t xml:space="preserve"> is generally regarded as the most realistic way to portray a company’s operating performance when faced with a multiyear contract. Under the point-in-time approach, three years of genuine economic activity are reported as zero, and all of the profit lands in the final year.</w:t>
            </w:r>
          </w:p>
        </w:tc>
      </w:tr>
    </w:tbl>
    <w:p>
      <w:pPr>
        <w:spacing w:after="150" w:line="60"/>
      </w:pPr>
    </w:p>
    <w:p>
      <w:pPr>
        <w:pageBreakBefore/>
        <w:spacing w:after="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P5.99  ·  NRV Computation and Presentation</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Problem</w:t>
            </w:r>
          </w:p>
          <w:p>
            <w:pPr>
              <w:spacing w:after="55" w:before="0" w:line="264"/>
            </w:pPr>
            <w:r>
              <w:rPr>
                <w:rFonts w:ascii="Arial" w:cs="Arial" w:eastAsia="Malgun Gothic" w:hAnsi="Arial"/>
                <w:b w:val="false"/>
                <w:bCs w:val="false"/>
                <w:i w:val="false"/>
                <w:iCs w:val="false"/>
                <w:color w:val="1D1D1D"/>
                <w:sz w:val="21"/>
                <w:szCs w:val="21"/>
              </w:rPr>
              <w:t xml:space="preserve">River Co. reports the following at 12/31/2025:</w:t>
            </w:r>
          </w:p>
          <w:p>
            <w:pPr>
              <w:spacing w:after="55" w:before="0" w:line="264"/>
            </w:pPr>
            <w:r>
              <w:rPr>
                <w:rFonts w:ascii="Arial" w:cs="Arial" w:eastAsia="Malgun Gothic" w:hAnsi="Arial"/>
                <w:b w:val="false"/>
                <w:bCs w:val="false"/>
                <w:i w:val="false"/>
                <w:iCs w:val="false"/>
                <w:color w:val="1D1D1D"/>
                <w:sz w:val="21"/>
                <w:szCs w:val="21"/>
              </w:rPr>
              <w:t xml:space="preserve">·  Accounts receivable (gross): </w:t>
            </w:r>
            <w:r>
              <w:rPr>
                <w:rFonts w:ascii="Arial" w:cs="Arial" w:eastAsia="Malgun Gothic" w:hAnsi="Arial"/>
                <w:b/>
                <w:bCs/>
                <w:i w:val="false"/>
                <w:iCs w:val="false"/>
                <w:color w:val="1D1D1D"/>
                <w:sz w:val="21"/>
                <w:szCs w:val="21"/>
              </w:rPr>
              <w:t xml:space="preserve">$250,000</w:t>
            </w:r>
          </w:p>
          <w:p>
            <w:pPr>
              <w:spacing w:after="55" w:before="0" w:line="264"/>
            </w:pPr>
            <w:r>
              <w:rPr>
                <w:rFonts w:ascii="Arial" w:cs="Arial" w:eastAsia="Malgun Gothic" w:hAnsi="Arial"/>
                <w:b w:val="false"/>
                <w:bCs w:val="false"/>
                <w:i w:val="false"/>
                <w:iCs w:val="false"/>
                <w:color w:val="1D1D1D"/>
                <w:sz w:val="21"/>
                <w:szCs w:val="21"/>
              </w:rPr>
              <w:t xml:space="preserve">·  Estimated uncollectible accounts: </w:t>
            </w:r>
            <w:r>
              <w:rPr>
                <w:rFonts w:ascii="Arial" w:cs="Arial" w:eastAsia="Malgun Gothic" w:hAnsi="Arial"/>
                <w:b/>
                <w:bCs/>
                <w:i w:val="false"/>
                <w:iCs w:val="false"/>
                <w:color w:val="1D1D1D"/>
                <w:sz w:val="21"/>
                <w:szCs w:val="21"/>
              </w:rPr>
              <w:t xml:space="preserve">5% of gross A/R</w:t>
            </w:r>
          </w:p>
          <w:p>
            <w:pPr>
              <w:spacing w:after="55" w:before="0" w:line="264"/>
            </w:pPr>
            <w:r>
              <w:rPr>
                <w:rFonts w:ascii="Arial" w:cs="Arial" w:eastAsia="Malgun Gothic" w:hAnsi="Arial"/>
                <w:b w:val="false"/>
                <w:bCs w:val="false"/>
                <w:i w:val="false"/>
                <w:iCs w:val="false"/>
                <w:color w:val="1D1D1D"/>
                <w:sz w:val="21"/>
                <w:szCs w:val="21"/>
              </w:rPr>
              <w:t xml:space="preserve">·  Expected customer returns: </w:t>
            </w:r>
            <w:r>
              <w:rPr>
                <w:rFonts w:ascii="Arial" w:cs="Arial" w:eastAsia="Malgun Gothic" w:hAnsi="Arial"/>
                <w:b/>
                <w:bCs/>
                <w:i w:val="false"/>
                <w:iCs w:val="false"/>
                <w:color w:val="1D1D1D"/>
                <w:sz w:val="21"/>
                <w:szCs w:val="21"/>
              </w:rPr>
              <w:t xml:space="preserve">$6,000</w:t>
            </w:r>
          </w:p>
          <w:p>
            <w:pPr>
              <w:spacing w:after="0" w:before="0" w:line="264"/>
            </w:pPr>
            <w:r>
              <w:rPr>
                <w:rFonts w:ascii="Arial" w:cs="Arial" w:eastAsia="Malgun Gothic" w:hAnsi="Arial"/>
                <w:b/>
                <w:bCs/>
                <w:i w:val="false"/>
                <w:iCs w:val="false"/>
                <w:color w:val="1D1D1D"/>
                <w:sz w:val="21"/>
                <w:szCs w:val="21"/>
              </w:rPr>
              <w:t xml:space="preserve">(a)</w:t>
            </w:r>
            <w:r>
              <w:rPr>
                <w:rFonts w:ascii="Arial" w:cs="Arial" w:eastAsia="Malgun Gothic" w:hAnsi="Arial"/>
                <w:b w:val="false"/>
                <w:bCs w:val="false"/>
                <w:i w:val="false"/>
                <w:iCs w:val="false"/>
                <w:color w:val="1D1D1D"/>
                <w:sz w:val="21"/>
                <w:szCs w:val="21"/>
              </w:rPr>
              <w:t xml:space="preserve"> Compute net realizable value (NRV) at 12/31/2025.   </w:t>
            </w:r>
            <w:r>
              <w:rPr>
                <w:rFonts w:ascii="Arial" w:cs="Arial" w:eastAsia="Malgun Gothic" w:hAnsi="Arial"/>
                <w:b/>
                <w:bCs/>
                <w:i w:val="false"/>
                <w:iCs w:val="false"/>
                <w:color w:val="1D1D1D"/>
                <w:sz w:val="21"/>
                <w:szCs w:val="21"/>
              </w:rPr>
              <w:t xml:space="preserve">(b)</w:t>
            </w:r>
            <w:r>
              <w:rPr>
                <w:rFonts w:ascii="Arial" w:cs="Arial" w:eastAsia="Malgun Gothic" w:hAnsi="Arial"/>
                <w:b w:val="false"/>
                <w:bCs w:val="false"/>
                <w:i w:val="false"/>
                <w:iCs w:val="false"/>
                <w:color w:val="1D1D1D"/>
                <w:sz w:val="21"/>
                <w:szCs w:val="21"/>
              </w:rPr>
              <w:t xml:space="preserve"> Show the balance sheet presentation.</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(a)  Computation</w:t>
            </w:r>
          </w:p>
          <w:p>
            <w:pPr>
              <w:spacing w:after="55" w:before="0" w:line="264"/>
            </w:pPr>
            <w:r>
              <w:rPr>
                <w:rFonts w:ascii="Arial" w:cs="Arial" w:eastAsia="Malgun Gothic" w:hAnsi="Arial"/>
                <w:b w:val="false"/>
                <w:bCs w:val="false"/>
                <w:i w:val="false"/>
                <w:iCs w:val="false"/>
                <w:color w:val="1D1D1D"/>
                <w:sz w:val="21"/>
                <w:szCs w:val="21"/>
              </w:rPr>
              <w:t xml:space="preserve">Estimated uncollectibles = 5% × 250,000 = </w:t>
            </w:r>
            <w:r>
              <w:rPr>
                <w:rFonts w:ascii="Arial" w:cs="Arial" w:eastAsia="Malgun Gothic" w:hAnsi="Arial"/>
                <w:b/>
                <w:bCs/>
                <w:i w:val="false"/>
                <w:iCs w:val="false"/>
                <w:color w:val="1D1D1D"/>
                <w:sz w:val="21"/>
                <w:szCs w:val="21"/>
              </w:rPr>
              <w:t xml:space="preserve">$12,500</w:t>
            </w:r>
          </w:p>
          <w:p>
            <w:pPr>
              <w:spacing w:after="55" w:before="0" w:line="264"/>
            </w:pPr>
            <w:r>
              <w:rPr>
                <w:rFonts w:ascii="Arial" w:cs="Arial" w:eastAsia="Malgun Gothic" w:hAnsi="Arial"/>
                <w:b w:val="false"/>
                <w:bCs w:val="false"/>
                <w:i w:val="false"/>
                <w:iCs w:val="false"/>
                <w:color w:val="1D1D1D"/>
                <w:sz w:val="21"/>
                <w:szCs w:val="21"/>
              </w:rPr>
              <w:t xml:space="preserve">NRV = Gross A/R − Allowance − Estimated returns</w:t>
            </w:r>
          </w:p>
          <w:p>
            <w:pPr>
              <w:spacing w:after="0" w:before="0" w:line="264"/>
            </w:pPr>
            <w:r>
              <w:rPr>
                <w:rFonts w:ascii="Arial" w:cs="Arial" w:eastAsia="Malgun Gothic" w:hAnsi="Arial"/>
                <w:b w:val="false"/>
                <w:bCs w:val="false"/>
                <w:i w:val="false"/>
                <w:iCs w:val="false"/>
                <w:color w:val="1D1D1D"/>
                <w:sz w:val="21"/>
                <w:szCs w:val="21"/>
              </w:rPr>
              <w:t xml:space="preserve">= 250,000 − 12,500 − 6,000 = </w:t>
            </w:r>
            <w:r>
              <w:rPr>
                <w:rFonts w:ascii="Arial" w:cs="Arial" w:eastAsia="Malgun Gothic" w:hAnsi="Arial"/>
                <w:b/>
                <w:bCs/>
                <w:i w:val="false"/>
                <w:iCs w:val="false"/>
                <w:color w:val="1D1D1D"/>
                <w:sz w:val="21"/>
                <w:szCs w:val="21"/>
              </w:rPr>
              <w:t xml:space="preserve">$231,500</w:t>
            </w:r>
          </w:p>
        </w:tc>
      </w:tr>
    </w:tbl>
    <w:p>
      <w:pPr>
        <w:spacing w:after="150" w:line="60"/>
      </w:pPr>
    </w:p>
    <w:p>
      <w:pPr>
        <w:keepNext/>
        <w:spacing w:after="60" w:line="250"/>
      </w:pPr>
      <w:r>
        <w:rPr>
          <w:rFonts w:ascii="Arial" w:cs="Arial" w:eastAsia="Malgun Gothic" w:hAnsi="Arial"/>
          <w:b/>
          <w:bCs/>
          <w:i w:val="false"/>
          <w:iCs w:val="false"/>
          <w:color w:val="1F4899"/>
          <w:sz w:val="20"/>
          <w:szCs w:val="20"/>
        </w:rPr>
        <w:t xml:space="preserve">(b)  Balance sheet presentation (partial)</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6600"/>
        <w:gridCol w:w="2760"/>
      </w:tblGrid>
      <w:tr>
        <w:trPr>
          <w:tblHeader/>
        </w:trPr>
        <w:tc>
          <w:tcPr>
            <w:tcW w:type="dxa" w:w="66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
            </w:r>
          </w:p>
        </w:tc>
        <w:tc>
          <w:tcPr>
            <w:tcW w:type="dxa" w:w="276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Amount ($)</w:t>
            </w:r>
          </w:p>
        </w:tc>
      </w:tr>
      <w:tr>
        <w:tc>
          <w:tcPr>
            <w:tcW w:type="dxa" w:w="66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Accounts receivable (gross)</w:t>
            </w:r>
          </w:p>
        </w:tc>
        <w:tc>
          <w:tcPr>
            <w:tcW w:type="dxa" w:w="276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250,000</w:t>
            </w:r>
          </w:p>
        </w:tc>
      </w:tr>
      <w:tr>
        <w:tc>
          <w:tcPr>
            <w:tcW w:type="dxa" w:w="66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Less: Allowance for doubtful accounts</w:t>
            </w:r>
          </w:p>
        </w:tc>
        <w:tc>
          <w:tcPr>
            <w:tcW w:type="dxa" w:w="276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(12,500)</w:t>
            </w:r>
          </w:p>
        </w:tc>
      </w:tr>
      <w:tr>
        <w:tc>
          <w:tcPr>
            <w:tcW w:type="dxa" w:w="66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Less: Estimated returns</w:t>
            </w:r>
          </w:p>
        </w:tc>
        <w:tc>
          <w:tcPr>
            <w:tcW w:type="dxa" w:w="276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(6,000)</w:t>
            </w:r>
          </w:p>
        </w:tc>
      </w:tr>
      <w:tr>
        <w:tc>
          <w:tcPr>
            <w:tcW w:type="dxa" w:w="6600"/>
            <w:tcBorders>
              <w:top w:val="single" w:color="1F4899" w:sz="6"/>
            </w:tcBorders>
            <w:shd w:fill="E8EEF8"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bCs/>
                <w:i w:val="false"/>
                <w:iCs w:val="false"/>
                <w:color w:val="1D1D1D"/>
                <w:sz w:val="19"/>
                <w:szCs w:val="19"/>
              </w:rPr>
              <w:t xml:space="preserve">Net realizable value</w:t>
            </w:r>
          </w:p>
        </w:tc>
        <w:tc>
          <w:tcPr>
            <w:tcW w:type="dxa" w:w="2760"/>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231,500</w:t>
            </w:r>
          </w:p>
        </w:tc>
      </w:tr>
    </w:tbl>
    <w:p>
      <w:pPr>
        <w:spacing w:after="160" w:line="60"/>
      </w:pP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Pr>
        <w:tc>
          <w:tcPr>
            <w:tcW w:type="dxa" w:w="9360"/>
            <w:shd w:fill="F5F5F3"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5A5A55"/>
                <w:sz w:val="22"/>
                <w:szCs w:val="22"/>
              </w:rPr>
              <w:t xml:space="preserve">Teaching note</w:t>
            </w:r>
          </w:p>
          <w:p>
            <w:pPr>
              <w:spacing w:after="0" w:before="0" w:line="264"/>
            </w:pPr>
            <w:r>
              <w:rPr>
                <w:rFonts w:ascii="Arial" w:cs="Arial" w:eastAsia="Malgun Gothic" w:hAnsi="Arial"/>
                <w:b w:val="false"/>
                <w:bCs w:val="false"/>
                <w:i w:val="false"/>
                <w:iCs w:val="false"/>
                <w:color w:val="1D1D1D"/>
                <w:sz w:val="21"/>
                <w:szCs w:val="21"/>
              </w:rPr>
              <w:t xml:space="preserve">Under ASC 606 the expected returns are presented as a separate </w:t>
            </w:r>
            <w:r>
              <w:rPr>
                <w:rFonts w:ascii="Arial" w:cs="Arial" w:eastAsia="Malgun Gothic" w:hAnsi="Arial"/>
                <w:b/>
                <w:bCs/>
                <w:i w:val="false"/>
                <w:iCs w:val="false"/>
                <w:color w:val="1D1D1D"/>
                <w:sz w:val="21"/>
                <w:szCs w:val="21"/>
              </w:rPr>
              <w:t xml:space="preserve">refund liability</w:t>
            </w:r>
            <w:r>
              <w:rPr>
                <w:rFonts w:ascii="Arial" w:cs="Arial" w:eastAsia="Malgun Gothic" w:hAnsi="Arial"/>
                <w:b w:val="false"/>
                <w:bCs w:val="false"/>
                <w:i w:val="false"/>
                <w:iCs w:val="false"/>
                <w:color w:val="1D1D1D"/>
                <w:sz w:val="21"/>
                <w:szCs w:val="21"/>
              </w:rPr>
              <w:t xml:space="preserve">, not as a contra to accounts receivable, with a corresponding </w:t>
            </w:r>
            <w:r>
              <w:rPr>
                <w:rFonts w:ascii="Arial" w:cs="Arial" w:eastAsia="Malgun Gothic" w:hAnsi="Arial"/>
                <w:b/>
                <w:bCs/>
                <w:i w:val="false"/>
                <w:iCs w:val="false"/>
                <w:color w:val="1D1D1D"/>
                <w:sz w:val="21"/>
                <w:szCs w:val="21"/>
              </w:rPr>
              <w:t xml:space="preserve">return asset</w:t>
            </w:r>
            <w:r>
              <w:rPr>
                <w:rFonts w:ascii="Arial" w:cs="Arial" w:eastAsia="Malgun Gothic" w:hAnsi="Arial"/>
                <w:b w:val="false"/>
                <w:bCs w:val="false"/>
                <w:i w:val="false"/>
                <w:iCs w:val="false"/>
                <w:color w:val="1D1D1D"/>
                <w:sz w:val="21"/>
                <w:szCs w:val="21"/>
              </w:rPr>
              <w:t xml:space="preserve"> for the right to recover the goods. The presentation above is the simplified teaching form.</w:t>
            </w:r>
          </w:p>
        </w:tc>
      </w:tr>
    </w:tbl>
    <w:p>
      <w:pPr>
        <w:spacing w:after="150" w:line="60"/>
      </w:pP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Malgun Gothic" w:hAnsi="Arial"/>
        <w:b w:val="false"/>
        <w:bCs w:val="false"/>
        <w:i w:val="false"/>
        <w:iCs w:val="false"/>
        <w:color w:val="767676"/>
        <w:sz w:val="15"/>
        <w:szCs w:val="15"/>
      </w:rPr>
      <w:t xml:space="preserve">Chapter 6  ·  Revenue Recognition and Accounts Receivable          </w:t>
    </w:r>
    <w:r>
      <w:rPr>
        <w:rFonts w:ascii="Arial" w:cs="Arial" w:eastAsia="Malgun Gothic" w:hAnsi="Arial"/>
        <w:color w:val="7676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removePersonalInformation/>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D1D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2026-08-04T01:51:00.635Z</dcterms:created>
  <dcterms:modified xsi:type="dcterms:W3CDTF">2026-08-04T01:51:00.635Z</dcterms:modified>
</cp:coreProperties>
</file>

<file path=docProps/custom.xml><?xml version="1.0" encoding="utf-8"?>
<Properties xmlns="http://schemas.openxmlformats.org/officeDocument/2006/custom-properties" xmlns:vt="http://schemas.openxmlformats.org/officeDocument/2006/docPropsVTypes"/>
</file>