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BEA2" w14:textId="21D08FEF" w:rsidR="00546EEB" w:rsidRDefault="00000000">
      <w:pPr>
        <w:spacing w:before="240" w:after="40"/>
        <w:jc w:val="center"/>
      </w:pPr>
      <w:r>
        <w:rPr>
          <w:rFonts w:eastAsia="Calibri"/>
          <w:color w:val="1F4E79"/>
        </w:rPr>
        <w:t xml:space="preserve"> </w:t>
      </w:r>
    </w:p>
    <w:p w14:paraId="18FA1BC1" w14:textId="77777777" w:rsidR="00546EEB" w:rsidRDefault="00000000">
      <w:pPr>
        <w:spacing w:after="40"/>
        <w:jc w:val="center"/>
      </w:pPr>
      <w:r>
        <w:rPr>
          <w:rFonts w:eastAsia="Calibri"/>
          <w:b/>
          <w:bCs/>
          <w:color w:val="000000"/>
          <w:sz w:val="52"/>
          <w:szCs w:val="52"/>
        </w:rPr>
        <w:t>Introduction to Valuation</w:t>
      </w:r>
    </w:p>
    <w:p w14:paraId="0FB436D0" w14:textId="05EE4B6F" w:rsidR="00546EEB" w:rsidRDefault="00546EEB">
      <w:pPr>
        <w:spacing w:after="40"/>
        <w:jc w:val="center"/>
      </w:pPr>
    </w:p>
    <w:p w14:paraId="0FA78775" w14:textId="1AA34AA9" w:rsidR="00546EEB" w:rsidRDefault="00546EEB">
      <w:pPr>
        <w:spacing w:before="120" w:after="160"/>
        <w:jc w:val="center"/>
        <w:rPr>
          <w:noProof/>
        </w:rPr>
      </w:pPr>
    </w:p>
    <w:p w14:paraId="4DB90227" w14:textId="2D492C25" w:rsidR="009C67DE" w:rsidRDefault="009C67DE">
      <w:pPr>
        <w:spacing w:before="120" w:after="160"/>
        <w:jc w:val="center"/>
        <w:rPr>
          <w:noProof/>
        </w:rPr>
      </w:pPr>
      <w:r>
        <w:rPr>
          <w:noProof/>
        </w:rPr>
        <w:drawing>
          <wp:anchor distT="0" distB="0" distL="114300" distR="114300" simplePos="0" relativeHeight="251659264" behindDoc="1" locked="0" layoutInCell="1" allowOverlap="1" wp14:anchorId="78DA43EF" wp14:editId="1315D56C">
            <wp:simplePos x="0" y="0"/>
            <wp:positionH relativeFrom="column">
              <wp:posOffset>866140</wp:posOffset>
            </wp:positionH>
            <wp:positionV relativeFrom="paragraph">
              <wp:posOffset>112395</wp:posOffset>
            </wp:positionV>
            <wp:extent cx="3991610" cy="2657475"/>
            <wp:effectExtent l="0" t="0" r="8890" b="9525"/>
            <wp:wrapTight wrapText="bothSides">
              <wp:wrapPolygon edited="0">
                <wp:start x="0" y="0"/>
                <wp:lineTo x="0" y="21523"/>
                <wp:lineTo x="21545" y="21523"/>
                <wp:lineTo x="21545" y="0"/>
                <wp:lineTo x="0" y="0"/>
              </wp:wrapPolygon>
            </wp:wrapTight>
            <wp:docPr id="5458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57696" name=""/>
                    <pic:cNvPicPr/>
                  </pic:nvPicPr>
                  <pic:blipFill>
                    <a:blip r:embed="rId8">
                      <a:extLst>
                        <a:ext uri="{28A0092B-C50C-407E-A947-70E740481C1C}">
                          <a14:useLocalDpi xmlns:a14="http://schemas.microsoft.com/office/drawing/2010/main" val="0"/>
                        </a:ext>
                      </a:extLst>
                    </a:blip>
                    <a:stretch>
                      <a:fillRect/>
                    </a:stretch>
                  </pic:blipFill>
                  <pic:spPr>
                    <a:xfrm>
                      <a:off x="0" y="0"/>
                      <a:ext cx="3991610" cy="2657475"/>
                    </a:xfrm>
                    <a:prstGeom prst="rect">
                      <a:avLst/>
                    </a:prstGeom>
                  </pic:spPr>
                </pic:pic>
              </a:graphicData>
            </a:graphic>
            <wp14:sizeRelH relativeFrom="margin">
              <wp14:pctWidth>0</wp14:pctWidth>
            </wp14:sizeRelH>
            <wp14:sizeRelV relativeFrom="margin">
              <wp14:pctHeight>0</wp14:pctHeight>
            </wp14:sizeRelV>
          </wp:anchor>
        </w:drawing>
      </w:r>
    </w:p>
    <w:p w14:paraId="4A2034AE" w14:textId="7D652BAB" w:rsidR="009C67DE" w:rsidRDefault="009C67DE">
      <w:pPr>
        <w:spacing w:before="120" w:after="160"/>
        <w:jc w:val="center"/>
        <w:rPr>
          <w:noProof/>
        </w:rPr>
      </w:pPr>
    </w:p>
    <w:p w14:paraId="0644236E" w14:textId="77777777" w:rsidR="009C67DE" w:rsidRDefault="009C67DE">
      <w:pPr>
        <w:spacing w:before="120" w:after="160"/>
        <w:jc w:val="center"/>
        <w:rPr>
          <w:noProof/>
        </w:rPr>
      </w:pPr>
    </w:p>
    <w:p w14:paraId="22414EC1" w14:textId="77777777" w:rsidR="009C67DE" w:rsidRDefault="009C67DE">
      <w:pPr>
        <w:spacing w:before="120" w:after="160"/>
        <w:jc w:val="center"/>
      </w:pPr>
    </w:p>
    <w:p w14:paraId="1BBE98A6" w14:textId="77777777" w:rsidR="009C67DE" w:rsidRDefault="009C67DE">
      <w:pPr>
        <w:spacing w:before="40" w:after="140"/>
        <w:jc w:val="center"/>
        <w:rPr>
          <w:rFonts w:eastAsia="Calibri"/>
          <w:color w:val="1F3864"/>
          <w:sz w:val="28"/>
          <w:szCs w:val="28"/>
        </w:rPr>
      </w:pPr>
    </w:p>
    <w:p w14:paraId="74C52F34" w14:textId="77777777" w:rsidR="009C67DE" w:rsidRDefault="009C67DE">
      <w:pPr>
        <w:spacing w:before="40" w:after="140"/>
        <w:jc w:val="center"/>
        <w:rPr>
          <w:rFonts w:eastAsia="Calibri"/>
          <w:color w:val="1F3864"/>
          <w:sz w:val="28"/>
          <w:szCs w:val="28"/>
        </w:rPr>
      </w:pPr>
    </w:p>
    <w:p w14:paraId="572EBF8A" w14:textId="77777777" w:rsidR="009C67DE" w:rsidRDefault="009C67DE">
      <w:pPr>
        <w:spacing w:before="40" w:after="140"/>
        <w:jc w:val="center"/>
        <w:rPr>
          <w:rFonts w:eastAsia="Calibri"/>
          <w:color w:val="1F3864"/>
          <w:sz w:val="28"/>
          <w:szCs w:val="28"/>
        </w:rPr>
      </w:pPr>
    </w:p>
    <w:p w14:paraId="69B0B226" w14:textId="77777777" w:rsidR="009C67DE" w:rsidRDefault="009C67DE">
      <w:pPr>
        <w:spacing w:before="40" w:after="140"/>
        <w:jc w:val="center"/>
        <w:rPr>
          <w:rFonts w:eastAsia="Calibri"/>
          <w:color w:val="1F3864"/>
          <w:sz w:val="28"/>
          <w:szCs w:val="28"/>
        </w:rPr>
      </w:pPr>
    </w:p>
    <w:p w14:paraId="74BCE6A5" w14:textId="77777777" w:rsidR="009C67DE" w:rsidRDefault="009C67DE">
      <w:pPr>
        <w:spacing w:before="40" w:after="140"/>
        <w:jc w:val="center"/>
        <w:rPr>
          <w:rFonts w:eastAsia="Calibri"/>
          <w:color w:val="1F3864"/>
          <w:sz w:val="28"/>
          <w:szCs w:val="28"/>
        </w:rPr>
      </w:pPr>
    </w:p>
    <w:p w14:paraId="48C6ADAB" w14:textId="77777777" w:rsidR="009C67DE" w:rsidRDefault="009C67DE">
      <w:pPr>
        <w:spacing w:before="40" w:after="140"/>
        <w:jc w:val="center"/>
        <w:rPr>
          <w:rFonts w:eastAsia="Calibri"/>
          <w:color w:val="1F3864"/>
          <w:sz w:val="28"/>
          <w:szCs w:val="28"/>
        </w:rPr>
      </w:pPr>
    </w:p>
    <w:p w14:paraId="14C402ED" w14:textId="77777777" w:rsidR="009C67DE" w:rsidRDefault="009C67DE">
      <w:pPr>
        <w:spacing w:before="40" w:after="140"/>
        <w:jc w:val="center"/>
        <w:rPr>
          <w:rFonts w:eastAsia="Calibri"/>
          <w:color w:val="1F3864"/>
          <w:sz w:val="28"/>
          <w:szCs w:val="28"/>
        </w:rPr>
      </w:pPr>
    </w:p>
    <w:sdt>
      <w:sdtPr>
        <w:rPr>
          <w:rFonts w:ascii="Calibri" w:eastAsia="Batang" w:hAnsi="Calibri" w:cs="Calibri"/>
          <w:color w:val="auto"/>
          <w:sz w:val="22"/>
          <w:szCs w:val="22"/>
          <w:lang w:eastAsia="zh-CN"/>
        </w:rPr>
        <w:id w:val="1358703402"/>
        <w:docPartObj>
          <w:docPartGallery w:val="Table of Contents"/>
          <w:docPartUnique/>
        </w:docPartObj>
      </w:sdtPr>
      <w:sdtEndPr>
        <w:rPr>
          <w:b/>
          <w:bCs/>
          <w:noProof/>
        </w:rPr>
      </w:sdtEndPr>
      <w:sdtContent>
        <w:p w14:paraId="5ED81113" w14:textId="6829D933" w:rsidR="00B960BF" w:rsidRDefault="00B960BF">
          <w:pPr>
            <w:pStyle w:val="TOCHeading"/>
          </w:pPr>
          <w:r>
            <w:t>Table of Contents</w:t>
          </w:r>
        </w:p>
        <w:p w14:paraId="0152AACE" w14:textId="1ED661BB" w:rsidR="000835AD" w:rsidRDefault="00B960BF">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219221" w:history="1">
            <w:r w:rsidR="000835AD" w:rsidRPr="004A6169">
              <w:rPr>
                <w:rStyle w:val="Hyperlink"/>
                <w:noProof/>
              </w:rPr>
              <w:t>Topic 1:</w:t>
            </w:r>
            <w:r w:rsidR="000835AD">
              <w:rPr>
                <w:rFonts w:asciiTheme="minorHAnsi" w:eastAsiaTheme="minorEastAsia" w:hAnsiTheme="minorHAnsi" w:cstheme="minorBidi"/>
                <w:noProof/>
                <w:kern w:val="2"/>
                <w:sz w:val="24"/>
                <w:szCs w:val="24"/>
                <w14:ligatures w14:val="standardContextual"/>
              </w:rPr>
              <w:tab/>
            </w:r>
            <w:r w:rsidR="000835AD" w:rsidRPr="004A6169">
              <w:rPr>
                <w:rStyle w:val="Hyperlink"/>
                <w:noProof/>
              </w:rPr>
              <w:t>The Time Value of Money -The Engine of Valuation</w:t>
            </w:r>
            <w:r w:rsidR="000835AD">
              <w:rPr>
                <w:noProof/>
                <w:webHidden/>
              </w:rPr>
              <w:tab/>
            </w:r>
            <w:r w:rsidR="000835AD">
              <w:rPr>
                <w:noProof/>
                <w:webHidden/>
              </w:rPr>
              <w:fldChar w:fldCharType="begin"/>
            </w:r>
            <w:r w:rsidR="000835AD">
              <w:rPr>
                <w:noProof/>
                <w:webHidden/>
              </w:rPr>
              <w:instrText xml:space="preserve"> PAGEREF _Toc235219221 \h </w:instrText>
            </w:r>
            <w:r w:rsidR="000835AD">
              <w:rPr>
                <w:noProof/>
                <w:webHidden/>
              </w:rPr>
            </w:r>
            <w:r w:rsidR="000835AD">
              <w:rPr>
                <w:noProof/>
                <w:webHidden/>
              </w:rPr>
              <w:fldChar w:fldCharType="separate"/>
            </w:r>
            <w:r w:rsidR="000835AD">
              <w:rPr>
                <w:noProof/>
                <w:webHidden/>
              </w:rPr>
              <w:t>3</w:t>
            </w:r>
            <w:r w:rsidR="000835AD">
              <w:rPr>
                <w:noProof/>
                <w:webHidden/>
              </w:rPr>
              <w:fldChar w:fldCharType="end"/>
            </w:r>
          </w:hyperlink>
        </w:p>
        <w:p w14:paraId="5B6F41A7" w14:textId="60D0FA5B" w:rsidR="000835AD" w:rsidRDefault="000835AD">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5219222" w:history="1">
            <w:r w:rsidRPr="004A6169">
              <w:rPr>
                <w:rStyle w:val="Hyperlink"/>
                <w:noProof/>
              </w:rPr>
              <w:t>Topic 2:</w:t>
            </w:r>
            <w:r>
              <w:rPr>
                <w:rFonts w:asciiTheme="minorHAnsi" w:eastAsiaTheme="minorEastAsia" w:hAnsiTheme="minorHAnsi" w:cstheme="minorBidi"/>
                <w:noProof/>
                <w:kern w:val="2"/>
                <w:sz w:val="24"/>
                <w:szCs w:val="24"/>
                <w14:ligatures w14:val="standardContextual"/>
              </w:rPr>
              <w:tab/>
            </w:r>
            <w:r w:rsidRPr="004A6169">
              <w:rPr>
                <w:rStyle w:val="Hyperlink"/>
                <w:noProof/>
              </w:rPr>
              <w:t>Meet Mr. Market — Price vs. Value</w:t>
            </w:r>
            <w:r>
              <w:rPr>
                <w:noProof/>
                <w:webHidden/>
              </w:rPr>
              <w:tab/>
            </w:r>
            <w:r>
              <w:rPr>
                <w:noProof/>
                <w:webHidden/>
              </w:rPr>
              <w:fldChar w:fldCharType="begin"/>
            </w:r>
            <w:r>
              <w:rPr>
                <w:noProof/>
                <w:webHidden/>
              </w:rPr>
              <w:instrText xml:space="preserve"> PAGEREF _Toc235219222 \h </w:instrText>
            </w:r>
            <w:r>
              <w:rPr>
                <w:noProof/>
                <w:webHidden/>
              </w:rPr>
            </w:r>
            <w:r>
              <w:rPr>
                <w:noProof/>
                <w:webHidden/>
              </w:rPr>
              <w:fldChar w:fldCharType="separate"/>
            </w:r>
            <w:r>
              <w:rPr>
                <w:noProof/>
                <w:webHidden/>
              </w:rPr>
              <w:t>3</w:t>
            </w:r>
            <w:r>
              <w:rPr>
                <w:noProof/>
                <w:webHidden/>
              </w:rPr>
              <w:fldChar w:fldCharType="end"/>
            </w:r>
          </w:hyperlink>
        </w:p>
        <w:p w14:paraId="563692F0" w14:textId="37A85F06" w:rsidR="000835AD" w:rsidRDefault="000835AD">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5219223" w:history="1">
            <w:r w:rsidRPr="004A6169">
              <w:rPr>
                <w:rStyle w:val="Hyperlink"/>
                <w:noProof/>
              </w:rPr>
              <w:t>Topic 3:</w:t>
            </w:r>
            <w:r>
              <w:rPr>
                <w:rFonts w:asciiTheme="minorHAnsi" w:eastAsiaTheme="minorEastAsia" w:hAnsiTheme="minorHAnsi" w:cstheme="minorBidi"/>
                <w:noProof/>
                <w:kern w:val="2"/>
                <w:sz w:val="24"/>
                <w:szCs w:val="24"/>
                <w14:ligatures w14:val="standardContextual"/>
              </w:rPr>
              <w:tab/>
            </w:r>
            <w:r w:rsidRPr="004A6169">
              <w:rPr>
                <w:rStyle w:val="Hyperlink"/>
                <w:noProof/>
              </w:rPr>
              <w:t>Discounted Free Cash Flow (DCF) Valuation</w:t>
            </w:r>
            <w:r>
              <w:rPr>
                <w:noProof/>
                <w:webHidden/>
              </w:rPr>
              <w:tab/>
            </w:r>
            <w:r>
              <w:rPr>
                <w:noProof/>
                <w:webHidden/>
              </w:rPr>
              <w:fldChar w:fldCharType="begin"/>
            </w:r>
            <w:r>
              <w:rPr>
                <w:noProof/>
                <w:webHidden/>
              </w:rPr>
              <w:instrText xml:space="preserve"> PAGEREF _Toc235219223 \h </w:instrText>
            </w:r>
            <w:r>
              <w:rPr>
                <w:noProof/>
                <w:webHidden/>
              </w:rPr>
            </w:r>
            <w:r>
              <w:rPr>
                <w:noProof/>
                <w:webHidden/>
              </w:rPr>
              <w:fldChar w:fldCharType="separate"/>
            </w:r>
            <w:r>
              <w:rPr>
                <w:noProof/>
                <w:webHidden/>
              </w:rPr>
              <w:t>3</w:t>
            </w:r>
            <w:r>
              <w:rPr>
                <w:noProof/>
                <w:webHidden/>
              </w:rPr>
              <w:fldChar w:fldCharType="end"/>
            </w:r>
          </w:hyperlink>
        </w:p>
        <w:p w14:paraId="06AFDC61" w14:textId="5D437894" w:rsidR="000835AD" w:rsidRDefault="000835AD">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5219224" w:history="1">
            <w:r w:rsidRPr="004A6169">
              <w:rPr>
                <w:rStyle w:val="Hyperlink"/>
                <w:noProof/>
              </w:rPr>
              <w:t>Topic 4:</w:t>
            </w:r>
            <w:r>
              <w:rPr>
                <w:rFonts w:asciiTheme="minorHAnsi" w:eastAsiaTheme="minorEastAsia" w:hAnsiTheme="minorHAnsi" w:cstheme="minorBidi"/>
                <w:noProof/>
                <w:kern w:val="2"/>
                <w:sz w:val="24"/>
                <w:szCs w:val="24"/>
                <w14:ligatures w14:val="standardContextual"/>
              </w:rPr>
              <w:tab/>
            </w:r>
            <w:r w:rsidRPr="004A6169">
              <w:rPr>
                <w:rStyle w:val="Hyperlink"/>
                <w:noProof/>
              </w:rPr>
              <w:t>The Price-Earnings (P/E) Ratio</w:t>
            </w:r>
            <w:r>
              <w:rPr>
                <w:noProof/>
                <w:webHidden/>
              </w:rPr>
              <w:tab/>
            </w:r>
            <w:r>
              <w:rPr>
                <w:noProof/>
                <w:webHidden/>
              </w:rPr>
              <w:fldChar w:fldCharType="begin"/>
            </w:r>
            <w:r>
              <w:rPr>
                <w:noProof/>
                <w:webHidden/>
              </w:rPr>
              <w:instrText xml:space="preserve"> PAGEREF _Toc235219224 \h </w:instrText>
            </w:r>
            <w:r>
              <w:rPr>
                <w:noProof/>
                <w:webHidden/>
              </w:rPr>
            </w:r>
            <w:r>
              <w:rPr>
                <w:noProof/>
                <w:webHidden/>
              </w:rPr>
              <w:fldChar w:fldCharType="separate"/>
            </w:r>
            <w:r>
              <w:rPr>
                <w:noProof/>
                <w:webHidden/>
              </w:rPr>
              <w:t>3</w:t>
            </w:r>
            <w:r>
              <w:rPr>
                <w:noProof/>
                <w:webHidden/>
              </w:rPr>
              <w:fldChar w:fldCharType="end"/>
            </w:r>
          </w:hyperlink>
        </w:p>
        <w:p w14:paraId="23A62AE4" w14:textId="1F561FF5" w:rsidR="000835AD" w:rsidRDefault="000835AD">
          <w:pPr>
            <w:pStyle w:val="TOC1"/>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5219225" w:history="1">
            <w:r w:rsidRPr="004A6169">
              <w:rPr>
                <w:rStyle w:val="Hyperlink"/>
                <w:noProof/>
              </w:rPr>
              <w:t>Topic 4A:</w:t>
            </w:r>
            <w:r>
              <w:rPr>
                <w:rFonts w:asciiTheme="minorHAnsi" w:eastAsiaTheme="minorEastAsia" w:hAnsiTheme="minorHAnsi" w:cstheme="minorBidi"/>
                <w:noProof/>
                <w:kern w:val="2"/>
                <w:sz w:val="24"/>
                <w:szCs w:val="24"/>
                <w14:ligatures w14:val="standardContextual"/>
              </w:rPr>
              <w:t xml:space="preserve">   </w:t>
            </w:r>
            <w:r w:rsidRPr="004A6169">
              <w:rPr>
                <w:rStyle w:val="Hyperlink"/>
                <w:noProof/>
              </w:rPr>
              <w:t>Trailing vs. Forward P/E in Practice - SKHY &amp; NVDA</w:t>
            </w:r>
            <w:r>
              <w:rPr>
                <w:noProof/>
                <w:webHidden/>
              </w:rPr>
              <w:tab/>
            </w:r>
            <w:r>
              <w:rPr>
                <w:noProof/>
                <w:webHidden/>
              </w:rPr>
              <w:fldChar w:fldCharType="begin"/>
            </w:r>
            <w:r>
              <w:rPr>
                <w:noProof/>
                <w:webHidden/>
              </w:rPr>
              <w:instrText xml:space="preserve"> PAGEREF _Toc235219225 \h </w:instrText>
            </w:r>
            <w:r>
              <w:rPr>
                <w:noProof/>
                <w:webHidden/>
              </w:rPr>
            </w:r>
            <w:r>
              <w:rPr>
                <w:noProof/>
                <w:webHidden/>
              </w:rPr>
              <w:fldChar w:fldCharType="separate"/>
            </w:r>
            <w:r>
              <w:rPr>
                <w:noProof/>
                <w:webHidden/>
              </w:rPr>
              <w:t>3</w:t>
            </w:r>
            <w:r>
              <w:rPr>
                <w:noProof/>
                <w:webHidden/>
              </w:rPr>
              <w:fldChar w:fldCharType="end"/>
            </w:r>
          </w:hyperlink>
        </w:p>
        <w:p w14:paraId="38C82267" w14:textId="2B43DD97" w:rsidR="000835AD" w:rsidRDefault="000835AD">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5219226" w:history="1">
            <w:r w:rsidRPr="004A6169">
              <w:rPr>
                <w:rStyle w:val="Hyperlink"/>
                <w:noProof/>
              </w:rPr>
              <w:t>Topic 5:</w:t>
            </w:r>
            <w:r>
              <w:rPr>
                <w:rFonts w:asciiTheme="minorHAnsi" w:eastAsiaTheme="minorEastAsia" w:hAnsiTheme="minorHAnsi" w:cstheme="minorBidi"/>
                <w:noProof/>
                <w:kern w:val="2"/>
                <w:sz w:val="24"/>
                <w:szCs w:val="24"/>
                <w14:ligatures w14:val="standardContextual"/>
              </w:rPr>
              <w:tab/>
            </w:r>
            <w:r w:rsidRPr="004A6169">
              <w:rPr>
                <w:rStyle w:val="Hyperlink"/>
                <w:noProof/>
              </w:rPr>
              <w:t>The Margin of Safety</w:t>
            </w:r>
            <w:r>
              <w:rPr>
                <w:noProof/>
                <w:webHidden/>
              </w:rPr>
              <w:tab/>
            </w:r>
            <w:r>
              <w:rPr>
                <w:noProof/>
                <w:webHidden/>
              </w:rPr>
              <w:fldChar w:fldCharType="begin"/>
            </w:r>
            <w:r>
              <w:rPr>
                <w:noProof/>
                <w:webHidden/>
              </w:rPr>
              <w:instrText xml:space="preserve"> PAGEREF _Toc235219226 \h </w:instrText>
            </w:r>
            <w:r>
              <w:rPr>
                <w:noProof/>
                <w:webHidden/>
              </w:rPr>
            </w:r>
            <w:r>
              <w:rPr>
                <w:noProof/>
                <w:webHidden/>
              </w:rPr>
              <w:fldChar w:fldCharType="separate"/>
            </w:r>
            <w:r>
              <w:rPr>
                <w:noProof/>
                <w:webHidden/>
              </w:rPr>
              <w:t>6</w:t>
            </w:r>
            <w:r>
              <w:rPr>
                <w:noProof/>
                <w:webHidden/>
              </w:rPr>
              <w:fldChar w:fldCharType="end"/>
            </w:r>
          </w:hyperlink>
        </w:p>
        <w:p w14:paraId="70DC9E62" w14:textId="307B96A1" w:rsidR="000835AD" w:rsidRDefault="000835AD">
          <w:pPr>
            <w:pStyle w:val="TOC1"/>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5219227" w:history="1">
            <w:r w:rsidRPr="004A6169">
              <w:rPr>
                <w:rStyle w:val="Hyperlink"/>
                <w:noProof/>
              </w:rPr>
              <w:t>Topic 6:</w:t>
            </w:r>
            <w:r>
              <w:rPr>
                <w:rFonts w:asciiTheme="minorHAnsi" w:eastAsiaTheme="minorEastAsia" w:hAnsiTheme="minorHAnsi" w:cstheme="minorBidi"/>
                <w:noProof/>
                <w:kern w:val="2"/>
                <w:sz w:val="24"/>
                <w:szCs w:val="24"/>
                <w14:ligatures w14:val="standardContextual"/>
              </w:rPr>
              <w:tab/>
            </w:r>
            <w:r w:rsidRPr="004A6169">
              <w:rPr>
                <w:rStyle w:val="Hyperlink"/>
                <w:noProof/>
              </w:rPr>
              <w:t>Earnings Quality</w:t>
            </w:r>
            <w:r>
              <w:rPr>
                <w:noProof/>
                <w:webHidden/>
              </w:rPr>
              <w:tab/>
            </w:r>
            <w:r>
              <w:rPr>
                <w:noProof/>
                <w:webHidden/>
              </w:rPr>
              <w:fldChar w:fldCharType="begin"/>
            </w:r>
            <w:r>
              <w:rPr>
                <w:noProof/>
                <w:webHidden/>
              </w:rPr>
              <w:instrText xml:space="preserve"> PAGEREF _Toc235219227 \h </w:instrText>
            </w:r>
            <w:r>
              <w:rPr>
                <w:noProof/>
                <w:webHidden/>
              </w:rPr>
            </w:r>
            <w:r>
              <w:rPr>
                <w:noProof/>
                <w:webHidden/>
              </w:rPr>
              <w:fldChar w:fldCharType="separate"/>
            </w:r>
            <w:r>
              <w:rPr>
                <w:noProof/>
                <w:webHidden/>
              </w:rPr>
              <w:t>8</w:t>
            </w:r>
            <w:r>
              <w:rPr>
                <w:noProof/>
                <w:webHidden/>
              </w:rPr>
              <w:fldChar w:fldCharType="end"/>
            </w:r>
          </w:hyperlink>
        </w:p>
        <w:p w14:paraId="2213E37D" w14:textId="5AB5150E" w:rsidR="00B960BF" w:rsidRDefault="00B960BF">
          <w:r>
            <w:rPr>
              <w:b/>
              <w:bCs/>
              <w:noProof/>
            </w:rPr>
            <w:fldChar w:fldCharType="end"/>
          </w:r>
        </w:p>
      </w:sdtContent>
    </w:sdt>
    <w:p w14:paraId="28BF9D14" w14:textId="77777777" w:rsidR="009C67DE" w:rsidRDefault="009C67DE">
      <w:pPr>
        <w:spacing w:before="40" w:after="140"/>
        <w:jc w:val="center"/>
        <w:rPr>
          <w:rFonts w:eastAsia="Malgun Gothic"/>
          <w:color w:val="1F3864"/>
          <w:sz w:val="28"/>
          <w:szCs w:val="28"/>
          <w:lang w:eastAsia="ko-KR"/>
        </w:rPr>
      </w:pPr>
    </w:p>
    <w:p w14:paraId="6FAAD03E" w14:textId="77777777" w:rsidR="00B960BF" w:rsidRDefault="00B960BF">
      <w:pPr>
        <w:spacing w:before="40" w:after="140"/>
        <w:jc w:val="center"/>
        <w:rPr>
          <w:rFonts w:eastAsia="Malgun Gothic"/>
          <w:color w:val="1F3864"/>
          <w:sz w:val="28"/>
          <w:szCs w:val="28"/>
          <w:lang w:eastAsia="ko-KR"/>
        </w:rPr>
      </w:pPr>
    </w:p>
    <w:p w14:paraId="380DB8C9" w14:textId="77777777" w:rsidR="00B960BF" w:rsidRDefault="00B960BF">
      <w:pPr>
        <w:spacing w:before="40" w:after="140"/>
        <w:jc w:val="center"/>
        <w:rPr>
          <w:rFonts w:eastAsia="Malgun Gothic"/>
          <w:color w:val="1F3864"/>
          <w:sz w:val="28"/>
          <w:szCs w:val="28"/>
          <w:lang w:eastAsia="ko-KR"/>
        </w:rPr>
      </w:pPr>
    </w:p>
    <w:p w14:paraId="6F120780" w14:textId="1F377B7A" w:rsidR="00546EEB" w:rsidRDefault="00546EEB">
      <w:pPr>
        <w:tabs>
          <w:tab w:val="left" w:pos="1280"/>
          <w:tab w:val="right" w:leader="dot" w:pos="9360"/>
        </w:tabs>
        <w:spacing w:after="130"/>
        <w:ind w:left="360"/>
      </w:pPr>
    </w:p>
    <w:p w14:paraId="21B6A8D8" w14:textId="77777777" w:rsidR="00546EEB" w:rsidRDefault="00000000">
      <w:pPr>
        <w:pageBreakBefore/>
        <w:spacing w:after="140"/>
      </w:pPr>
      <w:r>
        <w:rPr>
          <w:rFonts w:eastAsia="Calibri"/>
        </w:rPr>
        <w:lastRenderedPageBreak/>
        <w:tab/>
      </w:r>
    </w:p>
    <w:tbl>
      <w:tblPr>
        <w:tblW w:w="9075" w:type="dxa"/>
        <w:tblBorders>
          <w:top w:val="single" w:sz="12" w:space="0" w:color="1F4E79"/>
          <w:left w:val="single" w:sz="12" w:space="0" w:color="1F4E79"/>
          <w:bottom w:val="single" w:sz="12" w:space="0" w:color="1F4E79"/>
          <w:right w:val="single" w:sz="12"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75"/>
      </w:tblGrid>
      <w:tr w:rsidR="00546EEB" w14:paraId="1B0A7682" w14:textId="77777777" w:rsidTr="00D570A5">
        <w:tc>
          <w:tcPr>
            <w:tcW w:w="9075" w:type="dxa"/>
            <w:tcBorders>
              <w:top w:val="single" w:sz="12" w:space="0" w:color="1F4E79"/>
              <w:left w:val="single" w:sz="12" w:space="0" w:color="1F4E79"/>
              <w:bottom w:val="single" w:sz="12" w:space="0" w:color="1F4E79"/>
              <w:right w:val="single" w:sz="12" w:space="0" w:color="1F4E79"/>
            </w:tcBorders>
            <w:shd w:val="clear" w:color="auto" w:fill="EAF1FB"/>
            <w:tcMar>
              <w:top w:w="160" w:type="dxa"/>
              <w:left w:w="220" w:type="dxa"/>
              <w:bottom w:w="160" w:type="dxa"/>
              <w:right w:w="220" w:type="dxa"/>
            </w:tcMar>
          </w:tcPr>
          <w:p w14:paraId="77783D4F" w14:textId="77777777" w:rsidR="00546EEB" w:rsidRDefault="00000000">
            <w:pPr>
              <w:spacing w:after="80"/>
            </w:pPr>
            <w:r>
              <w:rPr>
                <w:rFonts w:eastAsia="Calibri"/>
                <w:b/>
                <w:bCs/>
                <w:color w:val="1F3864"/>
                <w:sz w:val="24"/>
                <w:szCs w:val="24"/>
              </w:rPr>
              <w:t>Before You Come to Class — Required Reading</w:t>
            </w:r>
          </w:p>
          <w:p w14:paraId="5AD4ED8B" w14:textId="77777777" w:rsidR="00546EEB" w:rsidRDefault="00000000">
            <w:pPr>
              <w:spacing w:after="60" w:line="264" w:lineRule="auto"/>
            </w:pPr>
            <w:r>
              <w:rPr>
                <w:rFonts w:eastAsia="Calibri"/>
              </w:rPr>
              <w:t xml:space="preserve">Read the </w:t>
            </w:r>
            <w:r>
              <w:rPr>
                <w:rFonts w:eastAsia="Calibri"/>
                <w:b/>
                <w:bCs/>
              </w:rPr>
              <w:t>“Mr. Market”</w:t>
            </w:r>
            <w:r>
              <w:rPr>
                <w:rFonts w:eastAsia="Calibri"/>
              </w:rPr>
              <w:t xml:space="preserve"> section of Warren Buffett’s 1987 Letter to Berkshire Hathaway Shareholders. It is only a few short paragraphs and is the most famous explanation of how to think about market prices.</w:t>
            </w:r>
          </w:p>
          <w:p w14:paraId="35A9D26D" w14:textId="77777777" w:rsidR="00546EEB" w:rsidRDefault="00000000">
            <w:pPr>
              <w:spacing w:after="80" w:line="264" w:lineRule="auto"/>
            </w:pPr>
            <w:r>
              <w:rPr>
                <w:rFonts w:eastAsia="Calibri"/>
              </w:rPr>
              <w:t xml:space="preserve">Free online: </w:t>
            </w:r>
            <w:hyperlink r:id="rId9" w:history="1">
              <w:r w:rsidR="00546EEB">
                <w:rPr>
                  <w:rFonts w:eastAsia="Calibri"/>
                  <w:color w:val="0563C1"/>
                  <w:u w:val="single"/>
                </w:rPr>
                <w:t>www.berkshirehathaway.com/letters/1987.html</w:t>
              </w:r>
            </w:hyperlink>
            <w:r>
              <w:rPr>
                <w:rFonts w:eastAsia="Calibri"/>
              </w:rPr>
              <w:t xml:space="preserve">   (open the page, then use Find → “Mr. Market” to jump to the passage).</w:t>
            </w:r>
          </w:p>
          <w:p w14:paraId="4EFA6CC6" w14:textId="77777777" w:rsidR="00546EEB" w:rsidRDefault="00000000">
            <w:pPr>
              <w:spacing w:after="50"/>
            </w:pPr>
            <w:r>
              <w:rPr>
                <w:rFonts w:eastAsia="Calibri"/>
                <w:i/>
                <w:iCs/>
              </w:rPr>
              <w:t>As you read, keep three questions in mind:</w:t>
            </w:r>
          </w:p>
          <w:p w14:paraId="782BC536" w14:textId="77777777" w:rsidR="00546EEB" w:rsidRDefault="00000000">
            <w:pPr>
              <w:tabs>
                <w:tab w:val="left" w:pos="792"/>
              </w:tabs>
              <w:spacing w:after="14"/>
              <w:ind w:left="792" w:hanging="288"/>
            </w:pPr>
            <w:r>
              <w:rPr>
                <w:rFonts w:eastAsia="Calibri"/>
              </w:rPr>
              <w:t>a.</w:t>
            </w:r>
            <w:r>
              <w:rPr>
                <w:rFonts w:eastAsia="Calibri"/>
              </w:rPr>
              <w:tab/>
              <w:t>Who is Mr. Market, and what is “wrong” with him?</w:t>
            </w:r>
          </w:p>
          <w:p w14:paraId="4239AE4A" w14:textId="77777777" w:rsidR="00546EEB" w:rsidRDefault="00000000">
            <w:pPr>
              <w:tabs>
                <w:tab w:val="left" w:pos="792"/>
              </w:tabs>
              <w:spacing w:after="14"/>
              <w:ind w:left="792" w:hanging="288"/>
            </w:pPr>
            <w:r>
              <w:rPr>
                <w:rFonts w:eastAsia="Calibri"/>
              </w:rPr>
              <w:t>b.</w:t>
            </w:r>
            <w:r>
              <w:rPr>
                <w:rFonts w:eastAsia="Calibri"/>
              </w:rPr>
              <w:tab/>
              <w:t>Why is he useful to a disciplined investor rather than dangerous?</w:t>
            </w:r>
          </w:p>
          <w:p w14:paraId="39E02885" w14:textId="77777777" w:rsidR="00546EEB" w:rsidRDefault="00000000">
            <w:pPr>
              <w:tabs>
                <w:tab w:val="left" w:pos="792"/>
              </w:tabs>
              <w:spacing w:after="14"/>
              <w:ind w:left="792" w:hanging="288"/>
            </w:pPr>
            <w:r>
              <w:rPr>
                <w:rFonts w:eastAsia="Calibri"/>
              </w:rPr>
              <w:t>c.</w:t>
            </w:r>
            <w:r>
              <w:rPr>
                <w:rFonts w:eastAsia="Calibri"/>
              </w:rPr>
              <w:tab/>
              <w:t>What does Graham’s “voting machine vs. weighing machine” idea mean?</w:t>
            </w:r>
          </w:p>
          <w:p w14:paraId="677F55C6" w14:textId="77777777" w:rsidR="00546EEB" w:rsidRDefault="00000000">
            <w:pPr>
              <w:spacing w:before="80" w:line="264" w:lineRule="auto"/>
            </w:pPr>
            <w:r>
              <w:rPr>
                <w:rFonts w:eastAsia="Calibri"/>
                <w:i/>
                <w:iCs/>
              </w:rPr>
              <w:t xml:space="preserve">Optional (for the curious): </w:t>
            </w:r>
            <w:r>
              <w:rPr>
                <w:rFonts w:eastAsia="Calibri"/>
              </w:rPr>
              <w:t xml:space="preserve">Benjamin Graham, </w:t>
            </w:r>
            <w:r>
              <w:rPr>
                <w:rFonts w:eastAsia="Calibri"/>
                <w:i/>
                <w:iCs/>
              </w:rPr>
              <w:t>The Intelligent Investor</w:t>
            </w:r>
            <w:r>
              <w:rPr>
                <w:rFonts w:eastAsia="Calibri"/>
              </w:rPr>
              <w:t>, Chapter 8 (“The Investor and Market Fluctuations”) and Chapter 20 (“Margin of Safety”).</w:t>
            </w:r>
          </w:p>
        </w:tc>
      </w:tr>
    </w:tbl>
    <w:p w14:paraId="7B710A14" w14:textId="77777777" w:rsidR="00546EEB" w:rsidRDefault="00546EEB">
      <w:pPr>
        <w:spacing w:after="220"/>
      </w:pPr>
    </w:p>
    <w:p w14:paraId="3A9C8B97" w14:textId="77777777" w:rsidR="002166DF" w:rsidRDefault="002166DF">
      <w:pPr>
        <w:rPr>
          <w:rFonts w:eastAsia="Calibri"/>
          <w:b/>
          <w:bCs/>
          <w:color w:val="1F3864"/>
          <w:sz w:val="36"/>
          <w:szCs w:val="36"/>
        </w:rPr>
      </w:pPr>
      <w:r>
        <w:br w:type="page"/>
      </w:r>
    </w:p>
    <w:p w14:paraId="22A3F01B" w14:textId="014603BD" w:rsidR="00546EEB" w:rsidRDefault="00000000" w:rsidP="00C91610">
      <w:pPr>
        <w:pStyle w:val="Heading1"/>
      </w:pPr>
      <w:bookmarkStart w:id="0" w:name="_Toc235219221"/>
      <w:r>
        <w:lastRenderedPageBreak/>
        <w:t>Topic 1:</w:t>
      </w:r>
      <w:r>
        <w:tab/>
        <w:t xml:space="preserve">The Time Value of Money </w:t>
      </w:r>
      <w:r w:rsidR="00C91610">
        <w:t>-</w:t>
      </w:r>
      <w:r>
        <w:t>The Engine of Valuation</w:t>
      </w:r>
      <w:bookmarkEnd w:id="0"/>
    </w:p>
    <w:p w14:paraId="063F03E5" w14:textId="77777777" w:rsidR="00546EEB" w:rsidRDefault="00000000">
      <w:pPr>
        <w:pStyle w:val="ListParagraph"/>
        <w:numPr>
          <w:ilvl w:val="0"/>
          <w:numId w:val="2"/>
        </w:numPr>
        <w:spacing w:after="40" w:line="256" w:lineRule="auto"/>
      </w:pPr>
      <w:r>
        <w:rPr>
          <w:rFonts w:eastAsia="Calibri"/>
        </w:rPr>
        <w:t xml:space="preserve">A dollar today is worth more than a dollar in the future, because a dollar today can be invested to earn a return. This single idea — the </w:t>
      </w:r>
      <w:r>
        <w:rPr>
          <w:rFonts w:eastAsia="Calibri"/>
          <w:b/>
          <w:bCs/>
          <w:color w:val="C00000"/>
          <w:u w:val="single"/>
        </w:rPr>
        <w:t>time value of money</w:t>
      </w:r>
      <w:r>
        <w:rPr>
          <w:rFonts w:eastAsia="Calibri"/>
        </w:rPr>
        <w:t xml:space="preserve"> — is the foundation of every valuation method in this course.</w:t>
      </w:r>
    </w:p>
    <w:p w14:paraId="3A8511A1" w14:textId="77777777" w:rsidR="00546EEB" w:rsidRDefault="00000000">
      <w:pPr>
        <w:pStyle w:val="ListParagraph"/>
        <w:numPr>
          <w:ilvl w:val="1"/>
          <w:numId w:val="2"/>
        </w:numPr>
        <w:spacing w:after="40" w:line="256" w:lineRule="auto"/>
      </w:pPr>
      <w:r>
        <w:rPr>
          <w:rFonts w:eastAsia="Calibri"/>
        </w:rPr>
        <w:t xml:space="preserve">The interest rate (or </w:t>
      </w:r>
      <w:r>
        <w:rPr>
          <w:rFonts w:eastAsia="Calibri"/>
          <w:b/>
          <w:bCs/>
          <w:color w:val="C00000"/>
          <w:u w:val="single"/>
        </w:rPr>
        <w:t>discount rate</w:t>
      </w:r>
      <w:r>
        <w:rPr>
          <w:rFonts w:eastAsia="Calibri"/>
        </w:rPr>
        <w:t xml:space="preserve">), </w:t>
      </w:r>
      <w:r>
        <w:rPr>
          <w:rFonts w:ascii="Cambria Math" w:eastAsia="Cambria Math" w:hAnsi="Cambria Math" w:cs="Cambria Math"/>
          <w:i/>
          <w:iCs/>
        </w:rPr>
        <w:t>r</w:t>
      </w:r>
      <w:r>
        <w:rPr>
          <w:rFonts w:eastAsia="Calibri"/>
        </w:rPr>
        <w:t>, is the price of time. It converts dollars at one point in time into equivalent dollars at another.</w:t>
      </w:r>
    </w:p>
    <w:p w14:paraId="1E021220" w14:textId="32EE8C56" w:rsidR="00546EEB" w:rsidRDefault="00000000">
      <w:pPr>
        <w:pStyle w:val="ListParagraph"/>
        <w:numPr>
          <w:ilvl w:val="0"/>
          <w:numId w:val="2"/>
        </w:numPr>
        <w:spacing w:after="40" w:line="256" w:lineRule="auto"/>
      </w:pPr>
      <w:r>
        <w:rPr>
          <w:rFonts w:eastAsia="Calibri"/>
        </w:rPr>
        <w:t>Two directions, one idea:</w:t>
      </w:r>
    </w:p>
    <w:p w14:paraId="507E17C9" w14:textId="5520EB65" w:rsidR="00546EEB" w:rsidRDefault="00000000">
      <w:pPr>
        <w:pStyle w:val="ListParagraph"/>
        <w:numPr>
          <w:ilvl w:val="1"/>
          <w:numId w:val="2"/>
        </w:numPr>
        <w:spacing w:after="40" w:line="256" w:lineRule="auto"/>
      </w:pPr>
      <w:r>
        <w:rPr>
          <w:rFonts w:eastAsia="Calibri"/>
          <w:b/>
          <w:bCs/>
        </w:rPr>
        <w:t>Compounding</w:t>
      </w:r>
      <w:r>
        <w:rPr>
          <w:rFonts w:eastAsia="Calibri"/>
        </w:rPr>
        <w:t xml:space="preserve"> moves money forward in time (present → future).</w:t>
      </w:r>
    </w:p>
    <w:p w14:paraId="106362C6" w14:textId="3D28811B" w:rsidR="00546EEB" w:rsidRDefault="00000000">
      <w:pPr>
        <w:pStyle w:val="ListParagraph"/>
        <w:numPr>
          <w:ilvl w:val="1"/>
          <w:numId w:val="2"/>
        </w:numPr>
        <w:spacing w:after="40" w:line="256" w:lineRule="auto"/>
      </w:pPr>
      <w:r>
        <w:rPr>
          <w:rFonts w:eastAsia="Calibri"/>
          <w:b/>
          <w:bCs/>
        </w:rPr>
        <w:t>Discounting</w:t>
      </w:r>
      <w:r>
        <w:rPr>
          <w:rFonts w:eastAsia="Calibri"/>
        </w:rPr>
        <w:t xml:space="preserve"> moves money backward in time (future → present). Valuation is almost always discounting.</w:t>
      </w:r>
    </w:p>
    <w:p w14:paraId="785D0E44" w14:textId="048A82E8" w:rsidR="009C67DE" w:rsidRDefault="009C67DE">
      <w:pPr>
        <w:tabs>
          <w:tab w:val="left" w:pos="360"/>
        </w:tabs>
        <w:spacing w:before="160" w:after="80"/>
        <w:rPr>
          <w:rFonts w:eastAsia="Calibri"/>
          <w:i/>
          <w:iCs/>
          <w:color w:val="404040"/>
        </w:rPr>
      </w:pPr>
      <w:r>
        <w:rPr>
          <w:noProof/>
        </w:rPr>
        <w:drawing>
          <wp:anchor distT="0" distB="0" distL="114300" distR="114300" simplePos="0" relativeHeight="251661312" behindDoc="0" locked="0" layoutInCell="1" allowOverlap="1" wp14:anchorId="2C94C315" wp14:editId="459BC94E">
            <wp:simplePos x="0" y="0"/>
            <wp:positionH relativeFrom="column">
              <wp:posOffset>-266700</wp:posOffset>
            </wp:positionH>
            <wp:positionV relativeFrom="paragraph">
              <wp:posOffset>237490</wp:posOffset>
            </wp:positionV>
            <wp:extent cx="6277524" cy="4185017"/>
            <wp:effectExtent l="0" t="0" r="0" b="6350"/>
            <wp:wrapNone/>
            <wp:docPr id="1" name="TVM" descr="Visual review of present value, future value, annuities, and perpetuities" title="Time Value of Money visual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7524" cy="4185017"/>
                    </a:xfrm>
                    <a:prstGeom prst="rect">
                      <a:avLst/>
                    </a:prstGeom>
                  </pic:spPr>
                </pic:pic>
              </a:graphicData>
            </a:graphic>
            <wp14:sizeRelH relativeFrom="margin">
              <wp14:pctWidth>0</wp14:pctWidth>
            </wp14:sizeRelH>
            <wp14:sizeRelV relativeFrom="margin">
              <wp14:pctHeight>0</wp14:pctHeight>
            </wp14:sizeRelV>
          </wp:anchor>
        </w:drawing>
      </w:r>
    </w:p>
    <w:p w14:paraId="0650B001" w14:textId="7993F6D3" w:rsidR="009C67DE" w:rsidRDefault="009C67DE">
      <w:pPr>
        <w:rPr>
          <w:rFonts w:eastAsia="Calibri"/>
          <w:i/>
          <w:iCs/>
          <w:color w:val="404040"/>
        </w:rPr>
      </w:pPr>
      <w:r>
        <w:rPr>
          <w:rFonts w:eastAsia="Calibri"/>
          <w:i/>
          <w:iCs/>
          <w:color w:val="404040"/>
        </w:rPr>
        <w:br w:type="page"/>
      </w:r>
    </w:p>
    <w:p w14:paraId="1E9B20DA" w14:textId="24F92D6F" w:rsidR="00546EEB" w:rsidRDefault="00000000">
      <w:pPr>
        <w:tabs>
          <w:tab w:val="left" w:pos="360"/>
        </w:tabs>
        <w:spacing w:before="160" w:after="80"/>
      </w:pPr>
      <w:r>
        <w:rPr>
          <w:rFonts w:eastAsia="Calibri"/>
          <w:color w:val="1F3864"/>
          <w:sz w:val="27"/>
          <w:szCs w:val="27"/>
        </w:rPr>
        <w:lastRenderedPageBreak/>
        <w:t>A.</w:t>
      </w:r>
      <w:r>
        <w:rPr>
          <w:rFonts w:eastAsia="Calibri"/>
          <w:color w:val="1F3864"/>
          <w:sz w:val="27"/>
          <w:szCs w:val="27"/>
        </w:rPr>
        <w:tab/>
        <w:t>Future Value and Present Value of a Single Sum</w:t>
      </w:r>
    </w:p>
    <w:p w14:paraId="4048173F" w14:textId="77777777" w:rsidR="00546EEB" w:rsidRDefault="00000000">
      <w:pPr>
        <w:pStyle w:val="ListParagraph"/>
        <w:numPr>
          <w:ilvl w:val="0"/>
          <w:numId w:val="2"/>
        </w:numPr>
        <w:spacing w:after="40" w:line="256" w:lineRule="auto"/>
      </w:pPr>
      <w:r>
        <w:rPr>
          <w:rFonts w:eastAsia="Calibri"/>
          <w:b/>
          <w:bCs/>
        </w:rPr>
        <w:t>Future value (FV)</w:t>
      </w:r>
      <w:r>
        <w:rPr>
          <w:rFonts w:eastAsia="Calibri"/>
        </w:rPr>
        <w:t xml:space="preserve"> — what a sum invested today will grow to:</w:t>
      </w:r>
    </w:p>
    <w:p w14:paraId="28B0B3BD"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FV=PV×</m:t>
          </m:r>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n</m:t>
              </m:r>
            </m:sup>
          </m:sSup>
        </m:oMath>
      </m:oMathPara>
    </w:p>
    <w:p w14:paraId="1DEC2A10" w14:textId="77777777" w:rsidR="00546EEB" w:rsidRDefault="00000000">
      <w:pPr>
        <w:pStyle w:val="ListParagraph"/>
        <w:numPr>
          <w:ilvl w:val="0"/>
          <w:numId w:val="2"/>
        </w:numPr>
        <w:spacing w:after="40" w:line="256" w:lineRule="auto"/>
      </w:pPr>
      <w:r>
        <w:rPr>
          <w:rFonts w:eastAsia="Calibri"/>
          <w:b/>
          <w:bCs/>
        </w:rPr>
        <w:t>Present value (PV)</w:t>
      </w:r>
      <w:r>
        <w:rPr>
          <w:rFonts w:eastAsia="Calibri"/>
        </w:rPr>
        <w:t xml:space="preserve"> — what a future sum is worth today (just FV rearranged):</w:t>
      </w:r>
    </w:p>
    <w:p w14:paraId="08165778"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PV=</m:t>
          </m:r>
          <m:f>
            <m:fPr>
              <m:ctrlPr>
                <w:rPr>
                  <w:rFonts w:ascii="Cambria Math" w:eastAsia="Cambria Math" w:hAnsi="Cambria Math" w:cs="Cambria Math"/>
                  <w:i/>
                  <w:color w:val="000000"/>
                </w:rPr>
              </m:ctrlPr>
            </m:fPr>
            <m:num>
              <m:r>
                <w:rPr>
                  <w:rFonts w:ascii="Cambria Math" w:eastAsia="Cambria Math" w:hAnsi="Cambria Math" w:cs="Cambria Math"/>
                  <w:color w:val="000000"/>
                </w:rPr>
                <m:t>FV</m:t>
              </m:r>
            </m:num>
            <m:den>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n</m:t>
                  </m:r>
                </m:sup>
              </m:sSup>
            </m:den>
          </m:f>
        </m:oMath>
      </m:oMathPara>
    </w:p>
    <w:p w14:paraId="5C265E26" w14:textId="77777777" w:rsidR="00546EEB" w:rsidRDefault="00000000">
      <w:pPr>
        <w:pStyle w:val="ListParagraph"/>
        <w:numPr>
          <w:ilvl w:val="0"/>
          <w:numId w:val="2"/>
        </w:numPr>
        <w:spacing w:after="40" w:line="256" w:lineRule="auto"/>
      </w:pPr>
      <w:r>
        <w:rPr>
          <w:rFonts w:eastAsia="Calibri"/>
        </w:rPr>
        <w:t xml:space="preserve">Example: at </w:t>
      </w:r>
      <w:r>
        <w:rPr>
          <w:rFonts w:ascii="Cambria Math" w:eastAsia="Cambria Math" w:hAnsi="Cambria Math" w:cs="Cambria Math"/>
          <w:i/>
          <w:iCs/>
        </w:rPr>
        <w:t>r</w:t>
      </w:r>
      <w:r>
        <w:rPr>
          <w:rFonts w:eastAsia="Calibri"/>
        </w:rPr>
        <w:t xml:space="preserve"> = 10%, $10,000 today grows to $11,000 in one year and to $16,105 in five years. Run in reverse: $16,105 to be received in five years is worth exactly $10,000 today.</w:t>
      </w:r>
    </w:p>
    <w:p w14:paraId="46F6C38D"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Annuities — A Stream of Equal Payments</w:t>
      </w:r>
    </w:p>
    <w:p w14:paraId="03B8D9B5" w14:textId="77777777" w:rsidR="00546EEB" w:rsidRDefault="00000000">
      <w:pPr>
        <w:pStyle w:val="ListParagraph"/>
        <w:numPr>
          <w:ilvl w:val="0"/>
          <w:numId w:val="2"/>
        </w:numPr>
        <w:spacing w:after="40" w:line="256" w:lineRule="auto"/>
      </w:pPr>
      <w:r>
        <w:rPr>
          <w:rFonts w:eastAsia="Calibri"/>
        </w:rPr>
        <w:t xml:space="preserve">An </w:t>
      </w:r>
      <w:r>
        <w:rPr>
          <w:rFonts w:eastAsia="Calibri"/>
          <w:b/>
          <w:bCs/>
          <w:color w:val="C00000"/>
          <w:u w:val="single"/>
        </w:rPr>
        <w:t>annuity</w:t>
      </w:r>
      <w:r>
        <w:rPr>
          <w:rFonts w:eastAsia="Calibri"/>
        </w:rPr>
        <w:t xml:space="preserve"> is a series of equal payments made at regular intervals — for example, $10,000 at the end of each year for five years.</w:t>
      </w:r>
    </w:p>
    <w:p w14:paraId="6584B44B" w14:textId="77777777" w:rsidR="00546EEB" w:rsidRDefault="00000000">
      <w:pPr>
        <w:pStyle w:val="ListParagraph"/>
        <w:numPr>
          <w:ilvl w:val="0"/>
          <w:numId w:val="2"/>
        </w:numPr>
        <w:spacing w:after="40" w:line="256" w:lineRule="auto"/>
      </w:pPr>
      <w:r>
        <w:rPr>
          <w:rFonts w:eastAsia="Calibri"/>
        </w:rPr>
        <w:t xml:space="preserve">PV of an </w:t>
      </w:r>
      <w:r>
        <w:rPr>
          <w:rFonts w:eastAsia="Calibri"/>
          <w:i/>
          <w:iCs/>
        </w:rPr>
        <w:t>ordinary annuity</w:t>
      </w:r>
      <w:r>
        <w:rPr>
          <w:rFonts w:eastAsia="Calibri"/>
        </w:rPr>
        <w:t xml:space="preserve"> (payments at the </w:t>
      </w:r>
      <w:r>
        <w:rPr>
          <w:rFonts w:eastAsia="Calibri"/>
          <w:i/>
          <w:iCs/>
        </w:rPr>
        <w:t>end</w:t>
      </w:r>
      <w:r>
        <w:rPr>
          <w:rFonts w:eastAsia="Calibri"/>
        </w:rPr>
        <w:t xml:space="preserve"> of each period):</w:t>
      </w:r>
    </w:p>
    <w:p w14:paraId="2F057C49"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PV=PMT×</m:t>
          </m:r>
          <m:f>
            <m:fPr>
              <m:ctrlPr>
                <w:rPr>
                  <w:rFonts w:ascii="Cambria Math" w:eastAsia="Cambria Math" w:hAnsi="Cambria Math" w:cs="Cambria Math"/>
                  <w:i/>
                  <w:color w:val="000000"/>
                </w:rPr>
              </m:ctrlPr>
            </m:fPr>
            <m:num>
              <m:r>
                <w:rPr>
                  <w:rFonts w:ascii="Cambria Math" w:eastAsia="Cambria Math" w:hAnsi="Cambria Math" w:cs="Cambria Math"/>
                  <w:color w:val="000000"/>
                </w:rPr>
                <m:t>1-</m:t>
              </m:r>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-n</m:t>
                  </m:r>
                </m:sup>
              </m:sSup>
            </m:num>
            <m:den>
              <m:r>
                <w:rPr>
                  <w:rFonts w:ascii="Cambria Math" w:eastAsia="Cambria Math" w:hAnsi="Cambria Math" w:cs="Cambria Math"/>
                  <w:color w:val="000000"/>
                </w:rPr>
                <m:t>r</m:t>
              </m:r>
            </m:den>
          </m:f>
        </m:oMath>
      </m:oMathPara>
    </w:p>
    <w:p w14:paraId="007DCA99" w14:textId="77777777" w:rsidR="00546EEB" w:rsidRDefault="00000000">
      <w:pPr>
        <w:pStyle w:val="ListParagraph"/>
        <w:numPr>
          <w:ilvl w:val="0"/>
          <w:numId w:val="2"/>
        </w:numPr>
        <w:spacing w:after="40" w:line="256" w:lineRule="auto"/>
      </w:pPr>
      <w:r>
        <w:rPr>
          <w:rFonts w:eastAsia="Calibri"/>
        </w:rPr>
        <w:t xml:space="preserve">Example: five annual payments of $10,000, discounted at 10%, are worth </w:t>
      </w:r>
      <w:r>
        <w:rPr>
          <w:rFonts w:eastAsia="Calibri"/>
          <w:b/>
          <w:bCs/>
        </w:rPr>
        <w:t>$37,909</w:t>
      </w:r>
      <w:r>
        <w:rPr>
          <w:rFonts w:eastAsia="Calibri"/>
        </w:rPr>
        <w:t xml:space="preserve"> today — not $50,000 — because the later payments are discounted more heavily.</w:t>
      </w:r>
    </w:p>
    <w:p w14:paraId="74D20D65"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Perpetuities — A Stream That Never Ends</w:t>
      </w:r>
    </w:p>
    <w:p w14:paraId="3958D647" w14:textId="77777777" w:rsidR="00546EEB" w:rsidRDefault="00000000">
      <w:pPr>
        <w:pStyle w:val="ListParagraph"/>
        <w:numPr>
          <w:ilvl w:val="0"/>
          <w:numId w:val="2"/>
        </w:numPr>
        <w:spacing w:after="40" w:line="256" w:lineRule="auto"/>
      </w:pPr>
      <w:r>
        <w:rPr>
          <w:rFonts w:eastAsia="Calibri"/>
        </w:rPr>
        <w:t xml:space="preserve">A </w:t>
      </w:r>
      <w:r>
        <w:rPr>
          <w:rFonts w:eastAsia="Calibri"/>
          <w:b/>
          <w:bCs/>
          <w:color w:val="C00000"/>
          <w:u w:val="single"/>
        </w:rPr>
        <w:t>perpetuity</w:t>
      </w:r>
      <w:r>
        <w:rPr>
          <w:rFonts w:eastAsia="Calibri"/>
        </w:rPr>
        <w:t xml:space="preserve"> is an annuity that continues forever. When payments last forever, the formulas collapse to something remarkably simple.</w:t>
      </w:r>
    </w:p>
    <w:p w14:paraId="2021271B" w14:textId="77777777" w:rsidR="00546EEB" w:rsidRDefault="00000000">
      <w:pPr>
        <w:pStyle w:val="ListParagraph"/>
        <w:numPr>
          <w:ilvl w:val="0"/>
          <w:numId w:val="2"/>
        </w:numPr>
        <w:spacing w:after="40" w:line="256" w:lineRule="auto"/>
      </w:pPr>
      <w:r>
        <w:rPr>
          <w:rFonts w:eastAsia="Calibri"/>
          <w:b/>
          <w:bCs/>
        </w:rPr>
        <w:t>Level perpetuity</w:t>
      </w:r>
      <w:r>
        <w:rPr>
          <w:rFonts w:eastAsia="Calibri"/>
        </w:rPr>
        <w:t xml:space="preserve"> (constant payment forever):</w:t>
      </w:r>
    </w:p>
    <w:p w14:paraId="32E5EAF6"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P=</m:t>
          </m:r>
          <m:f>
            <m:fPr>
              <m:ctrlPr>
                <w:rPr>
                  <w:rFonts w:ascii="Cambria Math" w:eastAsia="Cambria Math" w:hAnsi="Cambria Math" w:cs="Cambria Math"/>
                  <w:i/>
                  <w:color w:val="000000"/>
                </w:rPr>
              </m:ctrlPr>
            </m:fPr>
            <m:num>
              <m:r>
                <w:rPr>
                  <w:rFonts w:ascii="Cambria Math" w:eastAsia="Cambria Math" w:hAnsi="Cambria Math" w:cs="Cambria Math"/>
                  <w:color w:val="000000"/>
                </w:rPr>
                <m:t>PMT</m:t>
              </m:r>
            </m:num>
            <m:den>
              <m:r>
                <w:rPr>
                  <w:rFonts w:ascii="Cambria Math" w:eastAsia="Cambria Math" w:hAnsi="Cambria Math" w:cs="Cambria Math"/>
                  <w:color w:val="000000"/>
                </w:rPr>
                <m:t>r</m:t>
              </m:r>
            </m:den>
          </m:f>
        </m:oMath>
      </m:oMathPara>
    </w:p>
    <w:p w14:paraId="3973A307" w14:textId="77777777" w:rsidR="00546EEB" w:rsidRDefault="00000000">
      <w:pPr>
        <w:pStyle w:val="ListParagraph"/>
        <w:numPr>
          <w:ilvl w:val="1"/>
          <w:numId w:val="2"/>
        </w:numPr>
        <w:spacing w:after="40" w:line="256" w:lineRule="auto"/>
      </w:pPr>
      <w:r>
        <w:rPr>
          <w:rFonts w:eastAsia="Calibri"/>
        </w:rPr>
        <w:t>Example: $10,000 per year forever at 10% is worth $100,000 today.</w:t>
      </w:r>
    </w:p>
    <w:p w14:paraId="24421E35" w14:textId="77777777" w:rsidR="00546EEB" w:rsidRDefault="00000000">
      <w:pPr>
        <w:pStyle w:val="ListParagraph"/>
        <w:numPr>
          <w:ilvl w:val="0"/>
          <w:numId w:val="2"/>
        </w:numPr>
        <w:spacing w:after="40" w:line="256" w:lineRule="auto"/>
      </w:pPr>
      <w:r>
        <w:rPr>
          <w:rFonts w:eastAsia="Calibri"/>
          <w:b/>
          <w:bCs/>
        </w:rPr>
        <w:t>Growing perpetuity</w:t>
      </w:r>
      <w:r>
        <w:rPr>
          <w:rFonts w:eastAsia="Calibri"/>
        </w:rPr>
        <w:t xml:space="preserve"> (payment grows at rate </w:t>
      </w:r>
      <w:r>
        <w:rPr>
          <w:rFonts w:ascii="Cambria Math" w:eastAsia="Cambria Math" w:hAnsi="Cambria Math" w:cs="Cambria Math"/>
          <w:i/>
          <w:iCs/>
        </w:rPr>
        <w:t>g</w:t>
      </w:r>
      <w:r>
        <w:rPr>
          <w:rFonts w:eastAsia="Calibri"/>
        </w:rPr>
        <w:t xml:space="preserve"> forever):</w:t>
      </w:r>
    </w:p>
    <w:p w14:paraId="178DA8DB" w14:textId="77777777" w:rsidR="00546EEB" w:rsidRPr="00BF1128" w:rsidRDefault="00000000">
      <w:pPr>
        <w:spacing w:before="70" w:after="90"/>
        <w:jc w:val="center"/>
        <w:rPr>
          <w:sz w:val="20"/>
          <w:szCs w:val="20"/>
        </w:rPr>
      </w:pPr>
      <m:oMathPara>
        <m:oMath>
          <m:r>
            <w:rPr>
              <w:rFonts w:ascii="Cambria Math" w:eastAsia="Cambria Math" w:hAnsi="Cambria Math" w:cs="Cambria Math"/>
              <w:color w:val="000000"/>
            </w:rPr>
            <m:t>P=</m:t>
          </m:r>
          <m:f>
            <m:fPr>
              <m:ctrlPr>
                <w:rPr>
                  <w:rFonts w:ascii="Cambria Math" w:eastAsia="Cambria Math" w:hAnsi="Cambria Math" w:cs="Cambria Math"/>
                  <w:i/>
                  <w:color w:val="000000"/>
                </w:rPr>
              </m:ctrlPr>
            </m:fPr>
            <m:num>
              <m:sSub>
                <m:sSubPr>
                  <m:ctrlPr>
                    <w:rPr>
                      <w:rFonts w:ascii="Cambria Math" w:eastAsia="Cambria Math" w:hAnsi="Cambria Math" w:cs="Cambria Math"/>
                      <w:i/>
                      <w:color w:val="000000"/>
                    </w:rPr>
                  </m:ctrlPr>
                </m:sSubPr>
                <m:e>
                  <m:r>
                    <w:rPr>
                      <w:rFonts w:ascii="Cambria Math" w:eastAsia="Cambria Math" w:hAnsi="Cambria Math" w:cs="Cambria Math"/>
                      <w:color w:val="000000"/>
                    </w:rPr>
                    <m:t>PMT</m:t>
                  </m:r>
                </m:e>
                <m:sub>
                  <m:r>
                    <w:rPr>
                      <w:rFonts w:ascii="Cambria Math" w:eastAsia="Cambria Math" w:hAnsi="Cambria Math" w:cs="Cambria Math"/>
                      <w:color w:val="000000"/>
                    </w:rPr>
                    <m:t>1</m:t>
                  </m:r>
                </m:sub>
              </m:sSub>
            </m:num>
            <m:den>
              <m:r>
                <w:rPr>
                  <w:rFonts w:ascii="Cambria Math" w:eastAsia="Cambria Math" w:hAnsi="Cambria Math" w:cs="Cambria Math"/>
                  <w:color w:val="000000"/>
                </w:rPr>
                <m:t>r-g</m:t>
              </m:r>
            </m:den>
          </m:f>
        </m:oMath>
      </m:oMathPara>
    </w:p>
    <w:p w14:paraId="3093859E" w14:textId="77777777" w:rsidR="00546EEB" w:rsidRDefault="00000000">
      <w:pPr>
        <w:pStyle w:val="ListParagraph"/>
        <w:numPr>
          <w:ilvl w:val="1"/>
          <w:numId w:val="2"/>
        </w:numPr>
        <w:spacing w:after="40" w:line="256" w:lineRule="auto"/>
      </w:pPr>
      <w:r>
        <w:rPr>
          <w:rFonts w:eastAsia="Calibri"/>
        </w:rPr>
        <w:t>Example: a payment starting at $10,000 and growing 2% forever, discounted at 10%, is worth $125,000 today.</w:t>
      </w:r>
    </w:p>
    <w:p w14:paraId="2679D0BF" w14:textId="77777777" w:rsidR="00546EEB" w:rsidRDefault="00000000">
      <w:pPr>
        <w:pStyle w:val="ListParagraph"/>
        <w:numPr>
          <w:ilvl w:val="1"/>
          <w:numId w:val="2"/>
        </w:numPr>
        <w:spacing w:after="40" w:line="256" w:lineRule="auto"/>
      </w:pPr>
      <w:r>
        <w:rPr>
          <w:rFonts w:eastAsia="Calibri"/>
          <w:b/>
          <w:bCs/>
        </w:rPr>
        <w:t xml:space="preserve">Caution: </w:t>
      </w:r>
      <w:r>
        <w:rPr>
          <w:rFonts w:eastAsia="Calibri"/>
        </w:rPr>
        <w:t xml:space="preserve">the formula only works when </w:t>
      </w:r>
      <w:r>
        <w:rPr>
          <w:rFonts w:ascii="Cambria Math" w:eastAsia="Cambria Math" w:hAnsi="Cambria Math" w:cs="Cambria Math"/>
          <w:i/>
          <w:iCs/>
        </w:rPr>
        <w:t>r</w:t>
      </w:r>
      <w:r>
        <w:rPr>
          <w:rFonts w:eastAsia="Calibri"/>
        </w:rPr>
        <w:t xml:space="preserve"> &gt; </w:t>
      </w:r>
      <w:r>
        <w:rPr>
          <w:rFonts w:ascii="Cambria Math" w:eastAsia="Cambria Math" w:hAnsi="Cambria Math" w:cs="Cambria Math"/>
          <w:i/>
          <w:iCs/>
        </w:rPr>
        <w:t>g</w:t>
      </w:r>
      <w:r>
        <w:rPr>
          <w:rFonts w:eastAsia="Calibri"/>
        </w:rPr>
        <w:t xml:space="preserve">, and </w:t>
      </w:r>
      <w:r>
        <w:rPr>
          <w:rFonts w:ascii="Cambria Math" w:eastAsia="Cambria Math" w:hAnsi="Cambria Math" w:cs="Cambria Math"/>
          <w:i/>
          <w:iCs/>
        </w:rPr>
        <w:t>PMT₁</w:t>
      </w:r>
      <w:r>
        <w:rPr>
          <w:rFonts w:eastAsia="Calibri"/>
        </w:rPr>
        <w:t xml:space="preserve"> is the cash flow </w:t>
      </w:r>
      <w:r>
        <w:rPr>
          <w:rFonts w:eastAsia="Calibri"/>
          <w:i/>
          <w:iCs/>
        </w:rPr>
        <w:t>one period from today</w:t>
      </w:r>
      <w:r>
        <w:rPr>
          <w:rFonts w:eastAsia="Calibri"/>
        </w:rPr>
        <w:t>.</w:t>
      </w:r>
    </w:p>
    <w:p w14:paraId="2A49FAC4" w14:textId="0C389F7E" w:rsidR="00546EEB" w:rsidRDefault="00000000">
      <w:pPr>
        <w:pStyle w:val="ListParagraph"/>
        <w:numPr>
          <w:ilvl w:val="0"/>
          <w:numId w:val="2"/>
        </w:numPr>
        <w:spacing w:after="40" w:line="256" w:lineRule="auto"/>
      </w:pPr>
      <w:r>
        <w:rPr>
          <w:rFonts w:eastAsia="Calibri"/>
        </w:rPr>
        <w:t xml:space="preserve">Why this matters most: the </w:t>
      </w:r>
      <w:r>
        <w:rPr>
          <w:rFonts w:eastAsia="Calibri"/>
          <w:b/>
          <w:bCs/>
          <w:color w:val="C00000"/>
          <w:u w:val="single"/>
        </w:rPr>
        <w:t>growing perpetuity</w:t>
      </w:r>
      <w:r>
        <w:rPr>
          <w:rFonts w:eastAsia="Calibri"/>
        </w:rPr>
        <w:t xml:space="preserve"> is the single most important tool in valuation. In Topic </w:t>
      </w:r>
      <w:r w:rsidR="000835AD">
        <w:rPr>
          <w:rFonts w:eastAsia="Calibri"/>
        </w:rPr>
        <w:t>4</w:t>
      </w:r>
      <w:r>
        <w:rPr>
          <w:rFonts w:eastAsia="Calibri"/>
        </w:rPr>
        <w:t xml:space="preserve"> it reappears as the </w:t>
      </w:r>
      <w:r>
        <w:rPr>
          <w:rFonts w:eastAsia="Calibri"/>
          <w:b/>
          <w:bCs/>
        </w:rPr>
        <w:t>terminal value</w:t>
      </w:r>
      <w:r>
        <w:rPr>
          <w:rFonts w:eastAsia="Calibri"/>
        </w:rPr>
        <w:t xml:space="preserve"> — the device we use to capture all cash flows beyond our explicit forecast horizon.</w:t>
      </w:r>
    </w:p>
    <w:p w14:paraId="732600B3" w14:textId="77777777" w:rsidR="00546EEB" w:rsidRDefault="00546EEB">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571A4299"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13F5C885" w14:textId="77777777" w:rsidR="00546EEB" w:rsidRDefault="00000000">
            <w:pPr>
              <w:spacing w:line="264" w:lineRule="auto"/>
            </w:pPr>
            <w:r>
              <w:rPr>
                <w:rFonts w:eastAsia="Calibri"/>
                <w:b/>
                <w:bCs/>
                <w:color w:val="7F6000"/>
              </w:rPr>
              <w:t xml:space="preserve">Key Takeaway:  </w:t>
            </w:r>
            <w:r>
              <w:rPr>
                <w:rFonts w:eastAsia="Calibri"/>
              </w:rPr>
              <w:t>Every valuation in this course is one rule applied repeatedly — discount expected future cash flows back to today at a rate that reflects their risk. Master discounting, and the rest is detail.</w:t>
            </w:r>
          </w:p>
        </w:tc>
      </w:tr>
    </w:tbl>
    <w:p w14:paraId="2579CED6" w14:textId="38DE51D2" w:rsidR="00007A1B" w:rsidRDefault="00007A1B">
      <w:pPr>
        <w:spacing w:after="140"/>
      </w:pPr>
    </w:p>
    <w:p w14:paraId="43F5C98B" w14:textId="77777777" w:rsidR="00007A1B" w:rsidRDefault="00007A1B">
      <w:r>
        <w:br w:type="page"/>
      </w:r>
    </w:p>
    <w:p w14:paraId="4347E9BA" w14:textId="77777777" w:rsidR="00546EEB" w:rsidRDefault="00546EEB">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225DE7C2"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4D00A6C2" w14:textId="77777777" w:rsidR="00546EEB" w:rsidRDefault="00000000">
            <w:pPr>
              <w:spacing w:after="80"/>
            </w:pPr>
            <w:r>
              <w:rPr>
                <w:rFonts w:eastAsia="Calibri"/>
                <w:b/>
                <w:bCs/>
              </w:rPr>
              <w:t>Concept Quiz #1</w:t>
            </w:r>
          </w:p>
          <w:p w14:paraId="2D0A311A" w14:textId="77777777" w:rsidR="00546EEB" w:rsidRDefault="00000000">
            <w:pPr>
              <w:tabs>
                <w:tab w:val="left" w:pos="432"/>
              </w:tabs>
              <w:spacing w:before="120" w:after="30"/>
              <w:ind w:left="432" w:hanging="288"/>
            </w:pPr>
            <w:r>
              <w:rPr>
                <w:rFonts w:eastAsia="Calibri"/>
              </w:rPr>
              <w:t>1.</w:t>
            </w:r>
            <w:r>
              <w:rPr>
                <w:rFonts w:eastAsia="Calibri"/>
              </w:rPr>
              <w:tab/>
              <w:t>A dollar to be received three years from now is worth ____ a dollar received today (assume a positive interest rate).</w:t>
            </w:r>
          </w:p>
          <w:p w14:paraId="7B0A7700" w14:textId="77777777" w:rsidR="00546EEB" w:rsidRDefault="00000000">
            <w:pPr>
              <w:tabs>
                <w:tab w:val="left" w:pos="792"/>
              </w:tabs>
              <w:spacing w:after="14"/>
              <w:ind w:left="792" w:hanging="288"/>
            </w:pPr>
            <w:r>
              <w:rPr>
                <w:rFonts w:eastAsia="Calibri"/>
              </w:rPr>
              <w:t>a.</w:t>
            </w:r>
            <w:r>
              <w:rPr>
                <w:rFonts w:eastAsia="Calibri"/>
              </w:rPr>
              <w:tab/>
              <w:t>more than</w:t>
            </w:r>
          </w:p>
          <w:p w14:paraId="5B8442EB" w14:textId="77777777" w:rsidR="00546EEB" w:rsidRDefault="00000000">
            <w:pPr>
              <w:tabs>
                <w:tab w:val="left" w:pos="792"/>
              </w:tabs>
              <w:spacing w:after="14"/>
              <w:ind w:left="792" w:hanging="288"/>
            </w:pPr>
            <w:r>
              <w:rPr>
                <w:rFonts w:eastAsia="Calibri"/>
              </w:rPr>
              <w:t>b.</w:t>
            </w:r>
            <w:r>
              <w:rPr>
                <w:rFonts w:eastAsia="Calibri"/>
              </w:rPr>
              <w:tab/>
              <w:t>the same as</w:t>
            </w:r>
          </w:p>
          <w:p w14:paraId="7C081E63" w14:textId="77777777" w:rsidR="00546EEB" w:rsidRDefault="00000000">
            <w:pPr>
              <w:tabs>
                <w:tab w:val="left" w:pos="792"/>
              </w:tabs>
              <w:spacing w:after="14"/>
              <w:ind w:left="792" w:hanging="288"/>
            </w:pPr>
            <w:r>
              <w:rPr>
                <w:rFonts w:eastAsia="Calibri"/>
              </w:rPr>
              <w:t>c.</w:t>
            </w:r>
            <w:r>
              <w:rPr>
                <w:rFonts w:eastAsia="Calibri"/>
              </w:rPr>
              <w:tab/>
              <w:t>less than</w:t>
            </w:r>
          </w:p>
          <w:p w14:paraId="5E82C72E" w14:textId="77777777" w:rsidR="00546EEB" w:rsidRDefault="00000000">
            <w:pPr>
              <w:tabs>
                <w:tab w:val="left" w:pos="792"/>
              </w:tabs>
              <w:spacing w:after="14"/>
              <w:ind w:left="792" w:hanging="288"/>
            </w:pPr>
            <w:r>
              <w:rPr>
                <w:rFonts w:eastAsia="Calibri"/>
              </w:rPr>
              <w:t>d.</w:t>
            </w:r>
            <w:r>
              <w:rPr>
                <w:rFonts w:eastAsia="Calibri"/>
              </w:rPr>
              <w:tab/>
              <w:t>cannot be determined</w:t>
            </w:r>
          </w:p>
          <w:p w14:paraId="5A201C6E" w14:textId="77777777" w:rsidR="00546EEB" w:rsidRDefault="00000000">
            <w:pPr>
              <w:tabs>
                <w:tab w:val="left" w:pos="432"/>
              </w:tabs>
              <w:spacing w:before="120" w:after="30"/>
              <w:ind w:left="432" w:hanging="288"/>
            </w:pPr>
            <w:r>
              <w:rPr>
                <w:rFonts w:eastAsia="Calibri"/>
              </w:rPr>
              <w:t>2.</w:t>
            </w:r>
            <w:r>
              <w:rPr>
                <w:rFonts w:eastAsia="Calibri"/>
              </w:rPr>
              <w:tab/>
              <w:t>The present value of $5,000 received at the end of every year forever, discounted at 8%, is:</w:t>
            </w:r>
          </w:p>
          <w:p w14:paraId="1CEF974F" w14:textId="77777777" w:rsidR="00546EEB" w:rsidRDefault="00000000">
            <w:pPr>
              <w:tabs>
                <w:tab w:val="left" w:pos="792"/>
              </w:tabs>
              <w:spacing w:after="14"/>
              <w:ind w:left="792" w:hanging="288"/>
            </w:pPr>
            <w:r>
              <w:rPr>
                <w:rFonts w:eastAsia="Calibri"/>
              </w:rPr>
              <w:t>a.</w:t>
            </w:r>
            <w:r>
              <w:rPr>
                <w:rFonts w:eastAsia="Calibri"/>
              </w:rPr>
              <w:tab/>
              <w:t>$40,000</w:t>
            </w:r>
          </w:p>
          <w:p w14:paraId="2E8C6208" w14:textId="77777777" w:rsidR="00546EEB" w:rsidRDefault="00000000">
            <w:pPr>
              <w:tabs>
                <w:tab w:val="left" w:pos="792"/>
              </w:tabs>
              <w:spacing w:after="14"/>
              <w:ind w:left="792" w:hanging="288"/>
            </w:pPr>
            <w:r>
              <w:rPr>
                <w:rFonts w:eastAsia="Calibri"/>
              </w:rPr>
              <w:t>b.</w:t>
            </w:r>
            <w:r>
              <w:rPr>
                <w:rFonts w:eastAsia="Calibri"/>
              </w:rPr>
              <w:tab/>
              <w:t>$62,500</w:t>
            </w:r>
          </w:p>
          <w:p w14:paraId="5A998673" w14:textId="77777777" w:rsidR="00546EEB" w:rsidRDefault="00000000">
            <w:pPr>
              <w:tabs>
                <w:tab w:val="left" w:pos="792"/>
              </w:tabs>
              <w:spacing w:after="14"/>
              <w:ind w:left="792" w:hanging="288"/>
            </w:pPr>
            <w:r>
              <w:rPr>
                <w:rFonts w:eastAsia="Calibri"/>
              </w:rPr>
              <w:t>c.</w:t>
            </w:r>
            <w:r>
              <w:rPr>
                <w:rFonts w:eastAsia="Calibri"/>
              </w:rPr>
              <w:tab/>
              <w:t>$625,000</w:t>
            </w:r>
          </w:p>
          <w:p w14:paraId="4EC7D6CC" w14:textId="77777777" w:rsidR="00546EEB" w:rsidRDefault="00000000">
            <w:pPr>
              <w:tabs>
                <w:tab w:val="left" w:pos="792"/>
              </w:tabs>
              <w:spacing w:after="14"/>
              <w:ind w:left="792" w:hanging="288"/>
            </w:pPr>
            <w:r>
              <w:rPr>
                <w:rFonts w:eastAsia="Calibri"/>
              </w:rPr>
              <w:t>d.</w:t>
            </w:r>
            <w:r>
              <w:rPr>
                <w:rFonts w:eastAsia="Calibri"/>
              </w:rPr>
              <w:tab/>
              <w:t>infinite</w:t>
            </w:r>
          </w:p>
          <w:p w14:paraId="638834F6" w14:textId="77777777" w:rsidR="00546EEB" w:rsidRDefault="00000000">
            <w:pPr>
              <w:tabs>
                <w:tab w:val="left" w:pos="432"/>
              </w:tabs>
              <w:spacing w:before="120" w:after="30"/>
              <w:ind w:left="432" w:hanging="288"/>
            </w:pPr>
            <w:r>
              <w:rPr>
                <w:rFonts w:eastAsia="Calibri"/>
              </w:rPr>
              <w:t>3.</w:t>
            </w:r>
            <w:r>
              <w:rPr>
                <w:rFonts w:eastAsia="Calibri"/>
              </w:rPr>
              <w:tab/>
              <w:t>Holding the payment and discount rate constant, increasing the growth rate g in a growing perpetuity will ____ its present value.</w:t>
            </w:r>
          </w:p>
          <w:p w14:paraId="7B64ADEF" w14:textId="77777777" w:rsidR="00546EEB" w:rsidRDefault="00000000">
            <w:pPr>
              <w:tabs>
                <w:tab w:val="left" w:pos="792"/>
              </w:tabs>
              <w:spacing w:after="14"/>
              <w:ind w:left="792" w:hanging="288"/>
            </w:pPr>
            <w:r>
              <w:rPr>
                <w:rFonts w:eastAsia="Calibri"/>
              </w:rPr>
              <w:t>a.</w:t>
            </w:r>
            <w:r>
              <w:rPr>
                <w:rFonts w:eastAsia="Calibri"/>
              </w:rPr>
              <w:tab/>
              <w:t>increase</w:t>
            </w:r>
          </w:p>
          <w:p w14:paraId="6071B198" w14:textId="77777777" w:rsidR="00546EEB" w:rsidRDefault="00000000">
            <w:pPr>
              <w:tabs>
                <w:tab w:val="left" w:pos="792"/>
              </w:tabs>
              <w:spacing w:after="14"/>
              <w:ind w:left="792" w:hanging="288"/>
            </w:pPr>
            <w:r>
              <w:rPr>
                <w:rFonts w:eastAsia="Calibri"/>
              </w:rPr>
              <w:t>b.</w:t>
            </w:r>
            <w:r>
              <w:rPr>
                <w:rFonts w:eastAsia="Calibri"/>
              </w:rPr>
              <w:tab/>
              <w:t>decrease</w:t>
            </w:r>
          </w:p>
          <w:p w14:paraId="04B6F328" w14:textId="77777777" w:rsidR="00546EEB" w:rsidRDefault="00000000">
            <w:pPr>
              <w:tabs>
                <w:tab w:val="left" w:pos="792"/>
              </w:tabs>
              <w:spacing w:after="14"/>
              <w:ind w:left="792" w:hanging="288"/>
            </w:pPr>
            <w:r>
              <w:rPr>
                <w:rFonts w:eastAsia="Calibri"/>
              </w:rPr>
              <w:t>c.</w:t>
            </w:r>
            <w:r>
              <w:rPr>
                <w:rFonts w:eastAsia="Calibri"/>
              </w:rPr>
              <w:tab/>
              <w:t>not change</w:t>
            </w:r>
          </w:p>
          <w:p w14:paraId="799AFE53" w14:textId="77777777" w:rsidR="00546EEB" w:rsidRDefault="00000000">
            <w:pPr>
              <w:tabs>
                <w:tab w:val="left" w:pos="792"/>
              </w:tabs>
              <w:spacing w:after="14"/>
              <w:ind w:left="792" w:hanging="288"/>
            </w:pPr>
            <w:r>
              <w:rPr>
                <w:rFonts w:eastAsia="Calibri"/>
              </w:rPr>
              <w:t>d.</w:t>
            </w:r>
            <w:r>
              <w:rPr>
                <w:rFonts w:eastAsia="Calibri"/>
              </w:rPr>
              <w:tab/>
              <w:t>make it negative</w:t>
            </w:r>
          </w:p>
          <w:p w14:paraId="3EBD7996" w14:textId="77777777" w:rsidR="00007A1B" w:rsidRDefault="00007A1B">
            <w:pPr>
              <w:spacing w:before="120" w:after="20"/>
              <w:rPr>
                <w:rFonts w:eastAsia="Malgun Gothic"/>
                <w:color w:val="C00000"/>
                <w:lang w:eastAsia="ko-KR"/>
              </w:rPr>
            </w:pPr>
          </w:p>
          <w:p w14:paraId="4A1BAA37" w14:textId="637B11EF" w:rsidR="00546EEB" w:rsidRPr="00730D7D" w:rsidRDefault="00546EEB">
            <w:pPr>
              <w:spacing w:before="120" w:after="20"/>
              <w:rPr>
                <w:rFonts w:eastAsia="Malgun Gothic"/>
                <w:i/>
                <w:lang w:eastAsia="ko-KR"/>
              </w:rPr>
            </w:pPr>
          </w:p>
        </w:tc>
      </w:tr>
    </w:tbl>
    <w:p w14:paraId="0790C6E9" w14:textId="77777777" w:rsidR="00A2606A" w:rsidRDefault="00A2606A" w:rsidP="00C91610"/>
    <w:p w14:paraId="582B8C6B" w14:textId="77777777" w:rsidR="00A2606A" w:rsidRDefault="00A2606A">
      <w:pPr>
        <w:rPr>
          <w:rFonts w:eastAsia="Calibri"/>
          <w:b/>
          <w:bCs/>
          <w:color w:val="1F3864"/>
          <w:sz w:val="36"/>
          <w:szCs w:val="36"/>
        </w:rPr>
      </w:pPr>
      <w:r>
        <w:br w:type="page"/>
      </w:r>
    </w:p>
    <w:p w14:paraId="7FD66C6B" w14:textId="50CC3970" w:rsidR="000F11EA" w:rsidRDefault="000F11EA" w:rsidP="000F11EA">
      <w:pPr>
        <w:pStyle w:val="Heading1"/>
      </w:pPr>
      <w:bookmarkStart w:id="1" w:name="_Toc235219222"/>
      <w:r w:rsidRPr="00A07D9A">
        <w:rPr>
          <w:rFonts w:hint="eastAsia"/>
        </w:rPr>
        <w:lastRenderedPageBreak/>
        <w:t>T</w:t>
      </w:r>
      <w:r>
        <w:t>opic 2:</w:t>
      </w:r>
      <w:r>
        <w:tab/>
        <w:t>Meet Mr. Market — Price vs. Value</w:t>
      </w:r>
      <w:bookmarkEnd w:id="1"/>
    </w:p>
    <w:p w14:paraId="600A51A9" w14:textId="385836D2" w:rsidR="000F11EA" w:rsidRDefault="000F11EA" w:rsidP="000F11EA">
      <w:pPr>
        <w:pStyle w:val="ListParagraph"/>
        <w:numPr>
          <w:ilvl w:val="0"/>
          <w:numId w:val="2"/>
        </w:numPr>
        <w:spacing w:after="40" w:line="256" w:lineRule="auto"/>
      </w:pPr>
      <w:r>
        <w:rPr>
          <w:rFonts w:eastAsia="Calibri"/>
        </w:rPr>
        <w:t xml:space="preserve">The </w:t>
      </w:r>
      <w:r w:rsidR="00712137">
        <w:rPr>
          <w:rFonts w:eastAsia="Calibri"/>
        </w:rPr>
        <w:t>next</w:t>
      </w:r>
      <w:r>
        <w:rPr>
          <w:rFonts w:eastAsia="Calibri"/>
        </w:rPr>
        <w:t xml:space="preserve"> </w:t>
      </w:r>
      <w:r w:rsidR="00712137">
        <w:rPr>
          <w:rFonts w:eastAsia="Calibri"/>
        </w:rPr>
        <w:t xml:space="preserve">two </w:t>
      </w:r>
      <w:r>
        <w:rPr>
          <w:rFonts w:eastAsia="Calibri"/>
        </w:rPr>
        <w:t xml:space="preserve">topics </w:t>
      </w:r>
      <w:r w:rsidR="00712137">
        <w:rPr>
          <w:rFonts w:eastAsia="Calibri"/>
        </w:rPr>
        <w:t xml:space="preserve">will </w:t>
      </w:r>
      <w:r>
        <w:rPr>
          <w:rFonts w:eastAsia="Calibri"/>
        </w:rPr>
        <w:t xml:space="preserve">give us tools to estimate what a business is worth — its </w:t>
      </w:r>
      <w:r>
        <w:rPr>
          <w:rFonts w:eastAsia="Calibri"/>
          <w:b/>
          <w:bCs/>
          <w:color w:val="C00000"/>
          <w:u w:val="single"/>
        </w:rPr>
        <w:t>intrinsic value</w:t>
      </w:r>
      <w:r>
        <w:rPr>
          <w:rFonts w:eastAsia="Calibri"/>
        </w:rPr>
        <w:t xml:space="preserve">. </w:t>
      </w:r>
      <w:r>
        <w:rPr>
          <w:rFonts w:eastAsia="Calibri"/>
          <w:b/>
          <w:bCs/>
          <w:color w:val="C00000"/>
          <w:u w:val="single"/>
        </w:rPr>
        <w:t>Mr. Market</w:t>
      </w:r>
      <w:r>
        <w:rPr>
          <w:rFonts w:eastAsia="Calibri"/>
        </w:rPr>
        <w:t xml:space="preserve"> is the parable that explains why the price the market quotes is so often different from that value.</w:t>
      </w:r>
    </w:p>
    <w:p w14:paraId="06EBA5ED" w14:textId="77777777" w:rsidR="000F11EA" w:rsidRDefault="000F11EA" w:rsidP="000F11EA">
      <w:pPr>
        <w:pStyle w:val="ListParagraph"/>
        <w:numPr>
          <w:ilvl w:val="0"/>
          <w:numId w:val="2"/>
        </w:numPr>
        <w:spacing w:after="40" w:line="256" w:lineRule="auto"/>
      </w:pPr>
      <w:r>
        <w:rPr>
          <w:rFonts w:eastAsia="Calibri"/>
        </w:rPr>
        <w:t xml:space="preserve">Benjamin Graham, in </w:t>
      </w:r>
      <w:r>
        <w:rPr>
          <w:rFonts w:eastAsia="Calibri"/>
          <w:i/>
          <w:iCs/>
        </w:rPr>
        <w:t>The Intelligent Investor</w:t>
      </w:r>
      <w:r>
        <w:rPr>
          <w:rFonts w:eastAsia="Calibri"/>
        </w:rPr>
        <w:t>, imagined the market as a business partner named Mr. Market. Warren Buffett retold the story in his 1987 letter to Berkshire Hathaway shareholders (your pre-class reading).</w:t>
      </w:r>
    </w:p>
    <w:p w14:paraId="19492D4C" w14:textId="77777777" w:rsidR="000F11EA" w:rsidRDefault="000F11EA" w:rsidP="000F11EA">
      <w:pPr>
        <w:tabs>
          <w:tab w:val="left" w:pos="360"/>
        </w:tabs>
        <w:spacing w:before="160" w:after="80"/>
      </w:pPr>
      <w:r>
        <w:rPr>
          <w:rFonts w:eastAsia="Calibri"/>
          <w:color w:val="1F3864"/>
          <w:sz w:val="27"/>
          <w:szCs w:val="27"/>
        </w:rPr>
        <w:t>A.</w:t>
      </w:r>
      <w:r>
        <w:rPr>
          <w:rFonts w:eastAsia="Calibri"/>
          <w:color w:val="1F3864"/>
          <w:sz w:val="27"/>
          <w:szCs w:val="27"/>
        </w:rPr>
        <w:tab/>
        <w:t>The Parable (in brief)</w:t>
      </w:r>
    </w:p>
    <w:p w14:paraId="275B78EE" w14:textId="77777777" w:rsidR="000F11EA" w:rsidRDefault="000F11EA" w:rsidP="000F11EA">
      <w:pPr>
        <w:pStyle w:val="ListParagraph"/>
        <w:numPr>
          <w:ilvl w:val="0"/>
          <w:numId w:val="2"/>
        </w:numPr>
        <w:spacing w:after="40" w:line="256" w:lineRule="auto"/>
      </w:pPr>
      <w:r>
        <w:rPr>
          <w:rFonts w:eastAsia="Calibri"/>
        </w:rPr>
        <w:t>Imagine you own a small business with a partner, Mr. Market. Every day, without fail, he offers to either buy your share or sell you his — and he names a price.</w:t>
      </w:r>
    </w:p>
    <w:p w14:paraId="7B3AFE66" w14:textId="77777777" w:rsidR="000F11EA" w:rsidRDefault="000F11EA" w:rsidP="000F11EA">
      <w:pPr>
        <w:pStyle w:val="ListParagraph"/>
        <w:numPr>
          <w:ilvl w:val="0"/>
          <w:numId w:val="2"/>
        </w:numPr>
        <w:spacing w:after="40" w:line="256" w:lineRule="auto"/>
      </w:pPr>
      <w:r>
        <w:rPr>
          <w:rFonts w:eastAsia="Calibri"/>
        </w:rPr>
        <w:t xml:space="preserve">Mr. Market is emotional. Some days he is euphoric and quotes a wildly high price; other days he is despondent and quotes a price far below the business’s worth. His </w:t>
      </w:r>
      <w:r>
        <w:rPr>
          <w:rFonts w:eastAsia="Calibri"/>
          <w:i/>
          <w:iCs/>
        </w:rPr>
        <w:t>mood</w:t>
      </w:r>
      <w:r>
        <w:rPr>
          <w:rFonts w:eastAsia="Calibri"/>
        </w:rPr>
        <w:t>, not the business, drives his quote.</w:t>
      </w:r>
    </w:p>
    <w:p w14:paraId="213E9B3F" w14:textId="77777777" w:rsidR="000F11EA" w:rsidRDefault="000F11EA" w:rsidP="000F11EA">
      <w:pPr>
        <w:pStyle w:val="ListParagraph"/>
        <w:numPr>
          <w:ilvl w:val="0"/>
          <w:numId w:val="2"/>
        </w:numPr>
        <w:spacing w:after="40" w:line="256" w:lineRule="auto"/>
      </w:pPr>
      <w:r>
        <w:rPr>
          <w:rFonts w:eastAsia="Calibri"/>
        </w:rPr>
        <w:t xml:space="preserve">The crucial point: Mr. Market is there to </w:t>
      </w:r>
      <w:r>
        <w:rPr>
          <w:rFonts w:eastAsia="Calibri"/>
          <w:b/>
          <w:bCs/>
        </w:rPr>
        <w:t>serve</w:t>
      </w:r>
      <w:r>
        <w:rPr>
          <w:rFonts w:eastAsia="Calibri"/>
        </w:rPr>
        <w:t xml:space="preserve"> you, not to </w:t>
      </w:r>
      <w:r>
        <w:rPr>
          <w:rFonts w:eastAsia="Calibri"/>
          <w:b/>
          <w:bCs/>
        </w:rPr>
        <w:t>instruct</w:t>
      </w:r>
      <w:r>
        <w:rPr>
          <w:rFonts w:eastAsia="Calibri"/>
        </w:rPr>
        <w:t xml:space="preserve"> you. You may trade with him when his price is attractive and ignore him when it is not. He will be back tomorrow with a new quote.</w:t>
      </w:r>
    </w:p>
    <w:p w14:paraId="79D69407" w14:textId="77777777" w:rsidR="000F11EA" w:rsidRDefault="000F11EA" w:rsidP="000F11EA">
      <w:pPr>
        <w:tabs>
          <w:tab w:val="left" w:pos="360"/>
        </w:tabs>
        <w:spacing w:before="160" w:after="80"/>
      </w:pPr>
      <w:r>
        <w:rPr>
          <w:rFonts w:eastAsia="Calibri"/>
          <w:color w:val="1F3864"/>
          <w:sz w:val="27"/>
          <w:szCs w:val="27"/>
        </w:rPr>
        <w:t>B.</w:t>
      </w:r>
      <w:r>
        <w:rPr>
          <w:rFonts w:eastAsia="Calibri"/>
          <w:color w:val="1F3864"/>
          <w:sz w:val="27"/>
          <w:szCs w:val="27"/>
        </w:rPr>
        <w:tab/>
        <w:t>The Lesson: Price ≠ Value</w:t>
      </w:r>
    </w:p>
    <w:p w14:paraId="37F9D012" w14:textId="77777777" w:rsidR="000F11EA" w:rsidRDefault="000F11EA" w:rsidP="000F11EA">
      <w:pPr>
        <w:pStyle w:val="ListParagraph"/>
        <w:numPr>
          <w:ilvl w:val="0"/>
          <w:numId w:val="2"/>
        </w:numPr>
        <w:spacing w:after="40" w:line="256" w:lineRule="auto"/>
      </w:pPr>
      <w:r>
        <w:rPr>
          <w:rFonts w:eastAsia="Calibri"/>
          <w:b/>
          <w:bCs/>
        </w:rPr>
        <w:t>Price</w:t>
      </w:r>
      <w:r>
        <w:rPr>
          <w:rFonts w:eastAsia="Calibri"/>
        </w:rPr>
        <w:t xml:space="preserve"> is what Mr. Market quotes today; </w:t>
      </w:r>
      <w:r>
        <w:rPr>
          <w:rFonts w:eastAsia="Calibri"/>
          <w:b/>
          <w:bCs/>
        </w:rPr>
        <w:t>value</w:t>
      </w:r>
      <w:r>
        <w:rPr>
          <w:rFonts w:eastAsia="Calibri"/>
        </w:rPr>
        <w:t xml:space="preserve"> is what the business is actually worth. The two diverge constantly because price is set by crowd psychology in the short run.</w:t>
      </w:r>
    </w:p>
    <w:p w14:paraId="05B02260" w14:textId="77777777" w:rsidR="000F11EA" w:rsidRDefault="000F11EA" w:rsidP="000F11EA">
      <w:pPr>
        <w:pStyle w:val="ListParagraph"/>
        <w:numPr>
          <w:ilvl w:val="0"/>
          <w:numId w:val="2"/>
        </w:numPr>
        <w:spacing w:after="40" w:line="256" w:lineRule="auto"/>
      </w:pPr>
      <w:r>
        <w:rPr>
          <w:rFonts w:eastAsia="Calibri"/>
        </w:rPr>
        <w:t xml:space="preserve">Graham’s famous formulation: in the short run the market is a </w:t>
      </w:r>
      <w:r>
        <w:rPr>
          <w:rFonts w:eastAsia="Calibri"/>
          <w:i/>
          <w:iCs/>
        </w:rPr>
        <w:t>voting machine</w:t>
      </w:r>
      <w:r>
        <w:rPr>
          <w:rFonts w:eastAsia="Calibri"/>
        </w:rPr>
        <w:t xml:space="preserve">; in the long run, a </w:t>
      </w:r>
      <w:r>
        <w:rPr>
          <w:rFonts w:eastAsia="Calibri"/>
          <w:i/>
          <w:iCs/>
        </w:rPr>
        <w:t>weighing machine</w:t>
      </w:r>
      <w:r>
        <w:rPr>
          <w:rFonts w:eastAsia="Calibri"/>
        </w:rPr>
        <w:t>. Sentiment sets prices day to day; fundamentals set them over time.</w:t>
      </w:r>
    </w:p>
    <w:p w14:paraId="51237C90" w14:textId="308C6663" w:rsidR="000F11EA" w:rsidRDefault="000F11EA" w:rsidP="000F11EA">
      <w:pPr>
        <w:pStyle w:val="ListParagraph"/>
        <w:numPr>
          <w:ilvl w:val="0"/>
          <w:numId w:val="2"/>
        </w:numPr>
        <w:spacing w:after="40" w:line="256" w:lineRule="auto"/>
      </w:pPr>
      <w:r>
        <w:rPr>
          <w:rFonts w:eastAsia="Calibri"/>
        </w:rPr>
        <w:t xml:space="preserve">The investor’s job is therefore not to predict Mr. Market’s mood, but to (a) form an independent estimate of value, and (b) act only when price departs far enough from value to offer a </w:t>
      </w:r>
      <w:r>
        <w:rPr>
          <w:rFonts w:eastAsia="Calibri"/>
          <w:b/>
          <w:bCs/>
          <w:color w:val="C00000"/>
          <w:u w:val="single"/>
        </w:rPr>
        <w:t>margin of safety</w:t>
      </w:r>
      <w:r>
        <w:rPr>
          <w:rFonts w:eastAsia="Calibri"/>
        </w:rPr>
        <w:t xml:space="preserve"> (Topic </w:t>
      </w:r>
      <w:r w:rsidR="000835AD">
        <w:rPr>
          <w:rFonts w:eastAsia="Calibri"/>
        </w:rPr>
        <w:t>5</w:t>
      </w:r>
      <w:r>
        <w:rPr>
          <w:rFonts w:eastAsia="Calibri"/>
        </w:rPr>
        <w:t>).</w:t>
      </w:r>
    </w:p>
    <w:p w14:paraId="596E8949" w14:textId="77777777" w:rsidR="000F11EA" w:rsidRDefault="000F11EA" w:rsidP="000F11EA">
      <w:pPr>
        <w:tabs>
          <w:tab w:val="left" w:pos="360"/>
        </w:tabs>
        <w:spacing w:before="160" w:after="80"/>
      </w:pPr>
      <w:r>
        <w:rPr>
          <w:rFonts w:eastAsia="Calibri"/>
          <w:color w:val="1F3864"/>
          <w:sz w:val="27"/>
          <w:szCs w:val="27"/>
        </w:rPr>
        <w:t>C.</w:t>
      </w:r>
      <w:r>
        <w:rPr>
          <w:rFonts w:eastAsia="Calibri"/>
          <w:color w:val="1F3864"/>
          <w:sz w:val="27"/>
          <w:szCs w:val="27"/>
        </w:rPr>
        <w:tab/>
        <w:t>Two Ways People Try to Beat the Market</w:t>
      </w:r>
    </w:p>
    <w:p w14:paraId="0095A1B8" w14:textId="77777777" w:rsidR="000F11EA" w:rsidRDefault="000F11EA" w:rsidP="000F11EA">
      <w:pPr>
        <w:pStyle w:val="ListParagraph"/>
        <w:numPr>
          <w:ilvl w:val="0"/>
          <w:numId w:val="2"/>
        </w:numPr>
        <w:spacing w:after="40" w:line="256" w:lineRule="auto"/>
      </w:pPr>
      <w:r>
        <w:rPr>
          <w:rFonts w:eastAsia="Calibri"/>
          <w:b/>
          <w:bCs/>
        </w:rPr>
        <w:t>Fundamental analysis</w:t>
      </w:r>
      <w:r>
        <w:rPr>
          <w:rFonts w:eastAsia="Calibri"/>
        </w:rPr>
        <w:t xml:space="preserve"> — estimate intrinsic value from the business’s cash flows and financial statements (the approach of this course), then buy when price is below value.</w:t>
      </w:r>
    </w:p>
    <w:p w14:paraId="0769CE6A" w14:textId="77777777" w:rsidR="000F11EA" w:rsidRDefault="000F11EA" w:rsidP="000F11EA">
      <w:pPr>
        <w:pStyle w:val="ListParagraph"/>
        <w:numPr>
          <w:ilvl w:val="0"/>
          <w:numId w:val="2"/>
        </w:numPr>
        <w:spacing w:after="40" w:line="256" w:lineRule="auto"/>
      </w:pPr>
      <w:r>
        <w:rPr>
          <w:rFonts w:eastAsia="Calibri"/>
          <w:b/>
          <w:bCs/>
        </w:rPr>
        <w:t>Technical analysis</w:t>
      </w:r>
      <w:r>
        <w:rPr>
          <w:rFonts w:eastAsia="Calibri"/>
        </w:rPr>
        <w:t xml:space="preserve"> — study patterns in past prices and volume to predict future prices. It ignores intrinsic value and focuses on Mr. Market’s mood swings themselves.</w:t>
      </w:r>
    </w:p>
    <w:p w14:paraId="01205F53" w14:textId="77777777" w:rsidR="000F11EA" w:rsidRDefault="000F11EA" w:rsidP="000F11EA">
      <w:pPr>
        <w:pStyle w:val="ListParagraph"/>
        <w:numPr>
          <w:ilvl w:val="0"/>
          <w:numId w:val="2"/>
        </w:numPr>
        <w:spacing w:after="40" w:line="256" w:lineRule="auto"/>
      </w:pPr>
      <w:r>
        <w:rPr>
          <w:rFonts w:eastAsia="Calibri"/>
        </w:rPr>
        <w:t xml:space="preserve">This course is firmly in the fundamental camp: we use accounting information to estimate value, and we treat market prices as </w:t>
      </w:r>
      <w:r>
        <w:rPr>
          <w:rFonts w:eastAsia="Calibri"/>
          <w:i/>
          <w:iCs/>
        </w:rPr>
        <w:t>opportunities</w:t>
      </w:r>
      <w:r>
        <w:rPr>
          <w:rFonts w:eastAsia="Calibri"/>
        </w:rPr>
        <w:t>, not instructions.</w:t>
      </w:r>
    </w:p>
    <w:p w14:paraId="51F5B593" w14:textId="77777777" w:rsidR="000F11EA" w:rsidRDefault="000F11EA" w:rsidP="000F11EA">
      <w:pPr>
        <w:tabs>
          <w:tab w:val="left" w:pos="360"/>
        </w:tabs>
        <w:spacing w:before="160" w:after="80"/>
      </w:pPr>
      <w:r>
        <w:rPr>
          <w:rFonts w:eastAsia="Calibri"/>
          <w:color w:val="1F3864"/>
          <w:sz w:val="27"/>
          <w:szCs w:val="27"/>
        </w:rPr>
        <w:t>D.</w:t>
      </w:r>
      <w:r>
        <w:rPr>
          <w:rFonts w:eastAsia="Calibri"/>
          <w:color w:val="1F3864"/>
          <w:sz w:val="27"/>
          <w:szCs w:val="27"/>
        </w:rPr>
        <w:tab/>
        <w:t>A Note on Market Efficiency</w:t>
      </w:r>
    </w:p>
    <w:p w14:paraId="5A43B65C" w14:textId="77777777" w:rsidR="000F11EA" w:rsidRDefault="000F11EA" w:rsidP="000F11EA">
      <w:pPr>
        <w:pStyle w:val="ListParagraph"/>
        <w:numPr>
          <w:ilvl w:val="0"/>
          <w:numId w:val="2"/>
        </w:numPr>
        <w:spacing w:after="40" w:line="256" w:lineRule="auto"/>
      </w:pPr>
      <w:r>
        <w:rPr>
          <w:rFonts w:eastAsia="Calibri"/>
        </w:rPr>
        <w:t xml:space="preserve">The </w:t>
      </w:r>
      <w:r>
        <w:rPr>
          <w:rFonts w:eastAsia="Calibri"/>
          <w:b/>
          <w:bCs/>
        </w:rPr>
        <w:t>efficient market hypothesis</w:t>
      </w:r>
      <w:r>
        <w:rPr>
          <w:rFonts w:eastAsia="Calibri"/>
        </w:rPr>
        <w:t xml:space="preserve"> holds that prices already reflect all available information, so Mr. Market is rarely “wrong.” Reality is more nuanced: markets are largely efficient, but emotion, frictions, and information gaps create periodic </w:t>
      </w:r>
      <w:proofErr w:type="spellStart"/>
      <w:r>
        <w:rPr>
          <w:rFonts w:eastAsia="Calibri"/>
        </w:rPr>
        <w:t>mispricings</w:t>
      </w:r>
      <w:proofErr w:type="spellEnd"/>
      <w:r>
        <w:rPr>
          <w:rFonts w:eastAsia="Calibri"/>
        </w:rPr>
        <w:t>.</w:t>
      </w:r>
    </w:p>
    <w:p w14:paraId="72B7CEF8" w14:textId="77777777" w:rsidR="000F11EA" w:rsidRDefault="000F11EA" w:rsidP="000F11EA">
      <w:pPr>
        <w:pStyle w:val="ListParagraph"/>
        <w:numPr>
          <w:ilvl w:val="0"/>
          <w:numId w:val="2"/>
        </w:numPr>
        <w:spacing w:after="40" w:line="256" w:lineRule="auto"/>
      </w:pPr>
      <w:r>
        <w:rPr>
          <w:rFonts w:eastAsia="Calibri"/>
        </w:rPr>
        <w:t>Whether or not you can consistently beat the market, the Mr. Market discipline — knowing your own estimate of value and refusing to be ruled by price — protects you from the most common and costly investing mistakes.</w:t>
      </w:r>
    </w:p>
    <w:p w14:paraId="108C0159" w14:textId="77777777" w:rsidR="000F11EA" w:rsidRDefault="000F11EA" w:rsidP="000F11EA">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F11EA" w14:paraId="6C898EE2"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661C738B" w14:textId="77777777" w:rsidR="000F11EA" w:rsidRDefault="000F11EA" w:rsidP="006F711B">
            <w:pPr>
              <w:spacing w:line="264" w:lineRule="auto"/>
            </w:pPr>
            <w:r>
              <w:rPr>
                <w:rFonts w:eastAsia="Calibri"/>
                <w:b/>
                <w:bCs/>
                <w:color w:val="7F6000"/>
              </w:rPr>
              <w:lastRenderedPageBreak/>
              <w:t xml:space="preserve">Key Takeaway:  </w:t>
            </w:r>
            <w:r>
              <w:rPr>
                <w:rFonts w:eastAsia="Calibri"/>
              </w:rPr>
              <w:t>Mr. Market is your servant, not your guide. Use his quotes; don’t be governed by them. The whole point of learning to value a business is to know when his price is a gift — and when it is a trap.</w:t>
            </w:r>
          </w:p>
        </w:tc>
      </w:tr>
    </w:tbl>
    <w:p w14:paraId="743B69D0" w14:textId="77777777" w:rsidR="000F11EA" w:rsidRDefault="000F11EA" w:rsidP="000F11EA">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F11EA" w14:paraId="1E35DC1D"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26573831" w14:textId="77777777" w:rsidR="000F11EA" w:rsidRDefault="000F11EA" w:rsidP="006F711B">
            <w:pPr>
              <w:spacing w:after="80"/>
            </w:pPr>
            <w:r>
              <w:rPr>
                <w:rFonts w:eastAsia="Calibri"/>
                <w:b/>
                <w:bCs/>
              </w:rPr>
              <w:t>Discussion Questions</w:t>
            </w:r>
          </w:p>
          <w:p w14:paraId="7B136B5E" w14:textId="77777777" w:rsidR="000F11EA" w:rsidRDefault="000F11EA" w:rsidP="006F711B">
            <w:pPr>
              <w:spacing w:after="60"/>
            </w:pPr>
            <w:r>
              <w:rPr>
                <w:rFonts w:eastAsia="Calibri"/>
                <w:b/>
                <w:bCs/>
                <w:i/>
                <w:iCs/>
              </w:rPr>
              <w:t>Required:</w:t>
            </w:r>
          </w:p>
          <w:p w14:paraId="330ADE80" w14:textId="77777777" w:rsidR="000F11EA" w:rsidRDefault="000F11EA" w:rsidP="006F711B">
            <w:pPr>
              <w:tabs>
                <w:tab w:val="left" w:pos="792"/>
              </w:tabs>
              <w:spacing w:after="14"/>
              <w:ind w:left="792" w:hanging="288"/>
              <w:rPr>
                <w:rFonts w:eastAsia="Calibri"/>
              </w:rPr>
            </w:pPr>
            <w:r>
              <w:rPr>
                <w:rFonts w:eastAsia="Calibri"/>
              </w:rPr>
              <w:t>a.</w:t>
            </w:r>
            <w:r>
              <w:rPr>
                <w:rFonts w:eastAsia="Calibri"/>
              </w:rPr>
              <w:tab/>
              <w:t>In your own words, explain the difference between the price of a stock and the value of the underlying business. Why do the two diverge?</w:t>
            </w:r>
          </w:p>
          <w:p w14:paraId="1B19284B" w14:textId="77777777" w:rsidR="000F11EA" w:rsidRDefault="000F11EA" w:rsidP="006F711B">
            <w:pPr>
              <w:tabs>
                <w:tab w:val="left" w:pos="792"/>
              </w:tabs>
              <w:spacing w:after="14"/>
              <w:ind w:left="792" w:hanging="288"/>
            </w:pPr>
          </w:p>
          <w:p w14:paraId="430696F6" w14:textId="77777777" w:rsidR="000F11EA" w:rsidRDefault="000F11EA" w:rsidP="006F711B">
            <w:pPr>
              <w:tabs>
                <w:tab w:val="left" w:pos="792"/>
              </w:tabs>
              <w:spacing w:after="14"/>
              <w:ind w:left="792" w:hanging="288"/>
            </w:pPr>
            <w:r>
              <w:rPr>
                <w:rFonts w:eastAsia="Calibri"/>
              </w:rPr>
              <w:t>b.</w:t>
            </w:r>
            <w:r>
              <w:rPr>
                <w:rFonts w:eastAsia="Calibri"/>
              </w:rPr>
              <w:tab/>
              <w:t>Buffett writes that Mr. Market is there to serve you, not to instruct you. What does this imply about how an investor should react to a sudden 20% drop in a stock’s price?</w:t>
            </w:r>
          </w:p>
          <w:p w14:paraId="31198A83" w14:textId="77777777" w:rsidR="000F11EA" w:rsidRDefault="000F11EA" w:rsidP="006F711B">
            <w:pPr>
              <w:tabs>
                <w:tab w:val="left" w:pos="792"/>
              </w:tabs>
              <w:spacing w:after="14"/>
              <w:ind w:left="792" w:hanging="288"/>
              <w:rPr>
                <w:rFonts w:eastAsia="Calibri"/>
              </w:rPr>
            </w:pPr>
          </w:p>
          <w:p w14:paraId="6EDA39A0" w14:textId="2F2B744D" w:rsidR="000F11EA" w:rsidRDefault="000F11EA" w:rsidP="006F711B">
            <w:pPr>
              <w:tabs>
                <w:tab w:val="left" w:pos="792"/>
              </w:tabs>
              <w:spacing w:after="14"/>
              <w:ind w:left="792" w:hanging="288"/>
            </w:pPr>
            <w:r>
              <w:rPr>
                <w:rFonts w:eastAsia="Calibri"/>
              </w:rPr>
              <w:t>c.</w:t>
            </w:r>
            <w:r>
              <w:rPr>
                <w:rFonts w:eastAsia="Calibri"/>
              </w:rPr>
              <w:tab/>
              <w:t>Graham distinguishes a voting machine from a weighing machine. Give one example (real or hypothetical) of each force acting on a stock price.</w:t>
            </w:r>
          </w:p>
          <w:p w14:paraId="223BA341" w14:textId="77777777" w:rsidR="000F11EA" w:rsidRDefault="000F11EA" w:rsidP="006F711B">
            <w:pPr>
              <w:tabs>
                <w:tab w:val="left" w:pos="792"/>
              </w:tabs>
              <w:spacing w:after="14"/>
              <w:ind w:left="792" w:hanging="288"/>
              <w:rPr>
                <w:rFonts w:eastAsia="Calibri"/>
              </w:rPr>
            </w:pPr>
          </w:p>
          <w:p w14:paraId="4AD76DDA" w14:textId="77777777" w:rsidR="000F11EA" w:rsidRDefault="000F11EA" w:rsidP="006F711B">
            <w:pPr>
              <w:tabs>
                <w:tab w:val="left" w:pos="792"/>
              </w:tabs>
              <w:spacing w:after="14"/>
              <w:ind w:left="792" w:hanging="288"/>
              <w:rPr>
                <w:rFonts w:eastAsia="Calibri"/>
              </w:rPr>
            </w:pPr>
            <w:r>
              <w:rPr>
                <w:rFonts w:eastAsia="Calibri"/>
              </w:rPr>
              <w:t>d.</w:t>
            </w:r>
            <w:r>
              <w:rPr>
                <w:rFonts w:eastAsia="Calibri"/>
              </w:rPr>
              <w:tab/>
              <w:t>If markets were perfectly efficient, would the Mr. Market parable still be useful? Explain.</w:t>
            </w:r>
          </w:p>
          <w:p w14:paraId="44E19C4C" w14:textId="3BE38394" w:rsidR="00C170E7" w:rsidRDefault="00C170E7" w:rsidP="006F711B">
            <w:pPr>
              <w:tabs>
                <w:tab w:val="left" w:pos="792"/>
              </w:tabs>
              <w:spacing w:after="14"/>
              <w:ind w:left="792" w:hanging="288"/>
            </w:pPr>
          </w:p>
        </w:tc>
      </w:tr>
    </w:tbl>
    <w:p w14:paraId="5739644D" w14:textId="38EADDE4" w:rsidR="00C170E7" w:rsidRPr="00C170E7" w:rsidRDefault="00C170E7" w:rsidP="00730D7D">
      <w:pPr>
        <w:ind w:left="720"/>
        <w:rPr>
          <w:color w:val="C00000"/>
          <w:sz w:val="21"/>
          <w:szCs w:val="21"/>
        </w:rPr>
      </w:pPr>
    </w:p>
    <w:p w14:paraId="1A5A1EA2" w14:textId="4FC9BFD4" w:rsidR="000F11EA" w:rsidRDefault="000F11EA" w:rsidP="00C170E7">
      <w:pPr>
        <w:keepLines/>
        <w:rPr>
          <w:rFonts w:eastAsia="Calibri"/>
          <w:b/>
          <w:bCs/>
          <w:color w:val="1F3864"/>
          <w:sz w:val="36"/>
          <w:szCs w:val="36"/>
        </w:rPr>
      </w:pPr>
    </w:p>
    <w:p w14:paraId="23056559" w14:textId="77777777" w:rsidR="00C170E7" w:rsidRDefault="00C170E7">
      <w:pPr>
        <w:rPr>
          <w:rFonts w:eastAsia="Calibri"/>
          <w:b/>
          <w:bCs/>
          <w:color w:val="1F3864"/>
          <w:sz w:val="36"/>
          <w:szCs w:val="36"/>
        </w:rPr>
      </w:pPr>
      <w:bookmarkStart w:id="2" w:name="_Toc235219223"/>
      <w:r>
        <w:br w:type="page"/>
      </w:r>
    </w:p>
    <w:p w14:paraId="19B6D26B" w14:textId="017C924E" w:rsidR="00546EEB" w:rsidRDefault="00000000" w:rsidP="00C91610">
      <w:pPr>
        <w:pStyle w:val="Heading1"/>
      </w:pPr>
      <w:r>
        <w:lastRenderedPageBreak/>
        <w:t xml:space="preserve">Topic </w:t>
      </w:r>
      <w:r w:rsidR="000F11EA">
        <w:t>3</w:t>
      </w:r>
      <w:r>
        <w:t>:</w:t>
      </w:r>
      <w:r>
        <w:tab/>
        <w:t>Discounted Free Cash Flow (DCF) Valuation</w:t>
      </w:r>
      <w:bookmarkEnd w:id="2"/>
    </w:p>
    <w:p w14:paraId="15B31BC7" w14:textId="77777777" w:rsidR="00546EEB" w:rsidRDefault="00000000">
      <w:pPr>
        <w:pStyle w:val="ListParagraph"/>
        <w:numPr>
          <w:ilvl w:val="0"/>
          <w:numId w:val="2"/>
        </w:numPr>
        <w:spacing w:after="40" w:line="256" w:lineRule="auto"/>
      </w:pPr>
      <w:r>
        <w:rPr>
          <w:rFonts w:eastAsia="Calibri"/>
        </w:rPr>
        <w:t xml:space="preserve">The </w:t>
      </w:r>
      <w:r>
        <w:rPr>
          <w:rFonts w:eastAsia="Calibri"/>
          <w:b/>
          <w:bCs/>
          <w:color w:val="C00000"/>
          <w:u w:val="single"/>
        </w:rPr>
        <w:t>DCF model</w:t>
      </w:r>
      <w:r>
        <w:rPr>
          <w:rFonts w:eastAsia="Calibri"/>
        </w:rPr>
        <w:t xml:space="preserve"> is the most complete expression of the time-value principle: the value of a business equals the present value of the </w:t>
      </w:r>
      <w:r>
        <w:rPr>
          <w:rFonts w:eastAsia="Calibri"/>
          <w:b/>
          <w:bCs/>
          <w:color w:val="C00000"/>
          <w:u w:val="single"/>
        </w:rPr>
        <w:t>free cash flow</w:t>
      </w:r>
      <w:r>
        <w:rPr>
          <w:rFonts w:eastAsia="Calibri"/>
        </w:rPr>
        <w:t xml:space="preserve"> it will generate for its investors.</w:t>
      </w:r>
    </w:p>
    <w:p w14:paraId="133D7105" w14:textId="77777777" w:rsidR="00546EEB" w:rsidRPr="00BF3D50" w:rsidRDefault="00000000">
      <w:pPr>
        <w:pStyle w:val="ListParagraph"/>
        <w:numPr>
          <w:ilvl w:val="0"/>
          <w:numId w:val="2"/>
        </w:numPr>
        <w:spacing w:after="40" w:line="256" w:lineRule="auto"/>
      </w:pPr>
      <w:r>
        <w:rPr>
          <w:rFonts w:eastAsia="Calibri"/>
        </w:rPr>
        <w:t xml:space="preserve">Free cash flow (FCF) is the cash a business throws off </w:t>
      </w:r>
      <w:r>
        <w:rPr>
          <w:rFonts w:eastAsia="Calibri"/>
          <w:i/>
          <w:iCs/>
        </w:rPr>
        <w:t>after</w:t>
      </w:r>
      <w:r>
        <w:rPr>
          <w:rFonts w:eastAsia="Calibri"/>
        </w:rPr>
        <w:t xml:space="preserve"> paying for the operations and investment needed to sustain it — the cash actually available to investors.</w:t>
      </w:r>
    </w:p>
    <w:p w14:paraId="73B92F7B" w14:textId="285A4E98" w:rsidR="00BF3D50" w:rsidRDefault="00BF3D50">
      <w:pPr>
        <w:pStyle w:val="ListParagraph"/>
        <w:numPr>
          <w:ilvl w:val="0"/>
          <w:numId w:val="2"/>
        </w:numPr>
        <w:spacing w:after="40" w:line="256" w:lineRule="auto"/>
      </w:pPr>
      <w:r w:rsidRPr="00BF3D50">
        <w:t>FCF</w:t>
      </w:r>
      <w:r>
        <w:t xml:space="preserve"> for Firm</w:t>
      </w:r>
      <w:r w:rsidRPr="00BF3D50">
        <w:t xml:space="preserve">  =  CFO  +  Interest × (1 − t)  −  </w:t>
      </w:r>
      <w:proofErr w:type="spellStart"/>
      <w:r w:rsidRPr="00BF3D50">
        <w:t>CapEx</w:t>
      </w:r>
      <w:proofErr w:type="spellEnd"/>
      <w:r w:rsidR="003558C9">
        <w:rPr>
          <w:rStyle w:val="FootnoteReference"/>
        </w:rPr>
        <w:footnoteReference w:id="1"/>
      </w:r>
    </w:p>
    <w:p w14:paraId="37258A7C" w14:textId="77777777" w:rsidR="00546EEB" w:rsidRDefault="00000000">
      <w:pPr>
        <w:pStyle w:val="ListParagraph"/>
        <w:numPr>
          <w:ilvl w:val="0"/>
          <w:numId w:val="2"/>
        </w:numPr>
        <w:spacing w:after="40" w:line="256" w:lineRule="auto"/>
      </w:pPr>
      <w:r>
        <w:rPr>
          <w:rFonts w:eastAsia="Calibri"/>
        </w:rPr>
        <w:t>We cannot forecast forever, so we split the future into two pieces:</w:t>
      </w:r>
    </w:p>
    <w:p w14:paraId="363E7D55" w14:textId="77777777" w:rsidR="00546EEB" w:rsidRDefault="00000000">
      <w:pPr>
        <w:pStyle w:val="ListParagraph"/>
        <w:numPr>
          <w:ilvl w:val="1"/>
          <w:numId w:val="2"/>
        </w:numPr>
        <w:spacing w:after="40" w:line="256" w:lineRule="auto"/>
      </w:pPr>
      <w:r>
        <w:rPr>
          <w:rFonts w:eastAsia="Calibri"/>
        </w:rPr>
        <w:t xml:space="preserve">An </w:t>
      </w:r>
      <w:r>
        <w:rPr>
          <w:rFonts w:eastAsia="Calibri"/>
          <w:b/>
          <w:bCs/>
        </w:rPr>
        <w:t>explicit forecast horizon</w:t>
      </w:r>
      <w:r>
        <w:rPr>
          <w:rFonts w:eastAsia="Calibri"/>
        </w:rPr>
        <w:t xml:space="preserve"> (typically 5 years), where we project FCF year by year.</w:t>
      </w:r>
    </w:p>
    <w:p w14:paraId="165AE7E5" w14:textId="77777777" w:rsidR="00546EEB" w:rsidRDefault="00000000">
      <w:pPr>
        <w:pStyle w:val="ListParagraph"/>
        <w:numPr>
          <w:ilvl w:val="1"/>
          <w:numId w:val="2"/>
        </w:numPr>
        <w:spacing w:after="40" w:line="256" w:lineRule="auto"/>
      </w:pPr>
      <w:r>
        <w:rPr>
          <w:rFonts w:eastAsia="Calibri"/>
        </w:rPr>
        <w:t xml:space="preserve">A </w:t>
      </w:r>
      <w:r>
        <w:rPr>
          <w:rFonts w:eastAsia="Calibri"/>
          <w:b/>
          <w:bCs/>
          <w:color w:val="C00000"/>
          <w:u w:val="single"/>
        </w:rPr>
        <w:t>terminal value</w:t>
      </w:r>
      <w:r>
        <w:rPr>
          <w:rFonts w:eastAsia="Calibri"/>
        </w:rPr>
        <w:t xml:space="preserve">, which captures the value of </w:t>
      </w:r>
      <w:r>
        <w:rPr>
          <w:rFonts w:eastAsia="Calibri"/>
          <w:i/>
          <w:iCs/>
        </w:rPr>
        <w:t>all</w:t>
      </w:r>
      <w:r>
        <w:rPr>
          <w:rFonts w:eastAsia="Calibri"/>
        </w:rPr>
        <w:t xml:space="preserve"> cash flows beyond the horizon in a single figure.</w:t>
      </w:r>
    </w:p>
    <w:p w14:paraId="387EF0A4" w14:textId="77777777" w:rsidR="00546EEB" w:rsidRPr="00942515" w:rsidRDefault="00000000">
      <w:pPr>
        <w:spacing w:before="70" w:after="90"/>
        <w:jc w:val="center"/>
        <w:rPr>
          <w:sz w:val="20"/>
          <w:szCs w:val="20"/>
        </w:rPr>
      </w:pPr>
      <w:r w:rsidRPr="00942515">
        <w:rPr>
          <w:rFonts w:ascii="Cambria Math" w:eastAsia="Cambria Math" w:hAnsi="Cambria Math" w:cs="Cambria Math"/>
          <w:i/>
          <w:iCs/>
          <w:color w:val="000000"/>
        </w:rPr>
        <w:t>Firm Value  =  PV(FCF, Years 1–5)  +  PV(Terminal Value)</w:t>
      </w:r>
    </w:p>
    <w:p w14:paraId="78E2A31C" w14:textId="77777777" w:rsidR="00211410" w:rsidRDefault="00000000">
      <w:pPr>
        <w:tabs>
          <w:tab w:val="left" w:pos="360"/>
        </w:tabs>
        <w:spacing w:before="160" w:after="80"/>
      </w:pPr>
      <w:r>
        <w:rPr>
          <w:rFonts w:eastAsia="Calibri"/>
          <w:color w:val="1F3864"/>
          <w:sz w:val="27"/>
          <w:szCs w:val="27"/>
        </w:rPr>
        <w:t>A.</w:t>
      </w:r>
      <w:r>
        <w:rPr>
          <w:rFonts w:eastAsia="Calibri"/>
          <w:color w:val="1F3864"/>
          <w:sz w:val="27"/>
          <w:szCs w:val="27"/>
        </w:rPr>
        <w:tab/>
        <w:t>The Model, Stated Precisely</w:t>
      </w:r>
    </w:p>
    <w:p w14:paraId="299859B7" w14:textId="77777777" w:rsidR="00211410" w:rsidRDefault="00000000">
      <w:pPr>
        <w:pStyle w:val="ListParagraph"/>
        <w:numPr>
          <w:ilvl w:val="0"/>
          <w:numId w:val="2"/>
        </w:numPr>
        <w:spacing w:after="40" w:line="256" w:lineRule="auto"/>
      </w:pPr>
      <w:r>
        <w:rPr>
          <w:rFonts w:eastAsia="Calibri"/>
        </w:rPr>
        <w:t>The plain-English version above is exact. Here is the same idea in symbols, built in three steps — each step relaxing an assumption that the previous one could not carry.</w:t>
      </w:r>
    </w:p>
    <w:p w14:paraId="54B694BA" w14:textId="77777777" w:rsidR="00211410" w:rsidRDefault="00000000">
      <w:pPr>
        <w:pStyle w:val="ListParagraph"/>
        <w:numPr>
          <w:ilvl w:val="0"/>
          <w:numId w:val="2"/>
        </w:numPr>
        <w:spacing w:after="40" w:line="256" w:lineRule="auto"/>
      </w:pPr>
      <w:r>
        <w:rPr>
          <w:rFonts w:eastAsia="Calibri"/>
          <w:b/>
          <w:bCs/>
        </w:rPr>
        <w:t xml:space="preserve">Step 1 — firm value under certainty. </w:t>
      </w:r>
      <w:r>
        <w:rPr>
          <w:rFonts w:eastAsia="Calibri"/>
        </w:rPr>
        <w:t xml:space="preserve">If every future cash flow were known with certainty, the value of the firm today would simply be the present value of all of them, discounted at </w:t>
      </w:r>
      <w:r>
        <w:rPr>
          <w:rFonts w:eastAsia="Calibri"/>
          <w:i/>
          <w:iCs/>
        </w:rPr>
        <w:t>r</w:t>
      </w:r>
      <w:r>
        <w:rPr>
          <w:rFonts w:eastAsia="Calibri"/>
        </w:rPr>
        <w:t>:</w:t>
      </w:r>
    </w:p>
    <w:p w14:paraId="7B7475D7" w14:textId="77777777" w:rsidR="00211410" w:rsidRDefault="00000000">
      <w:pPr>
        <w:spacing w:before="70" w:after="90"/>
        <w:jc w:val="center"/>
      </w:pPr>
      <m:oMath>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V</m:t>
            </m:r>
          </m:e>
          <m:sub>
            <m: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1</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1</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2</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2</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3</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3</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m:t>
                </m:r>
              </m:sub>
            </m:sSub>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m:t>
                </m:r>
              </m:sup>
            </m:sSup>
          </m:den>
        </m:f>
      </m:oMath>
      <w:r>
        <w:rPr>
          <w:rFonts w:eastAsia="Calibri"/>
          <w:color w:val="000000"/>
          <w:sz w:val="21"/>
          <w:szCs w:val="21"/>
        </w:rPr>
        <w:t xml:space="preserve">   (1)</w:t>
      </w:r>
    </w:p>
    <w:p w14:paraId="3DD9A3E1" w14:textId="36D465C4" w:rsidR="00211410" w:rsidRDefault="00000000">
      <w:pPr>
        <w:pStyle w:val="ListParagraph"/>
        <w:numPr>
          <w:ilvl w:val="1"/>
          <w:numId w:val="2"/>
        </w:numPr>
        <w:spacing w:after="40" w:line="256" w:lineRule="auto"/>
      </w:pPr>
      <w:r>
        <w:rPr>
          <w:rFonts w:eastAsia="Calibri"/>
        </w:rPr>
        <w:t xml:space="preserve">where </w:t>
      </w:r>
      <w:r>
        <w:rPr>
          <w:rFonts w:eastAsia="Calibri"/>
          <w:i/>
          <w:iCs/>
        </w:rPr>
        <w:t>V₀</w:t>
      </w:r>
      <w:r>
        <w:rPr>
          <w:rFonts w:eastAsia="Calibri"/>
        </w:rPr>
        <w:t xml:space="preserve"> is the value of the firm at </w:t>
      </w:r>
      <w:r>
        <w:rPr>
          <w:rFonts w:eastAsia="Calibri"/>
          <w:i/>
          <w:iCs/>
        </w:rPr>
        <w:t>t</w:t>
      </w:r>
      <w:r>
        <w:rPr>
          <w:rFonts w:eastAsia="Calibri"/>
        </w:rPr>
        <w:t xml:space="preserve"> = 0, and </w:t>
      </w:r>
      <w:r>
        <w:rPr>
          <w:rFonts w:eastAsia="Calibri"/>
          <w:i/>
          <w:iCs/>
        </w:rPr>
        <w:t>FCFₙ</w:t>
      </w:r>
      <w:r>
        <w:rPr>
          <w:rFonts w:eastAsia="Calibri"/>
        </w:rPr>
        <w:t xml:space="preserve"> is the free cash flow at </w:t>
      </w:r>
      <w:r w:rsidR="003558C9">
        <w:rPr>
          <w:rFonts w:eastAsia="Calibri"/>
        </w:rPr>
        <w:t xml:space="preserve">time </w:t>
      </w:r>
      <w:r>
        <w:rPr>
          <w:rFonts w:eastAsia="Calibri"/>
          <w:i/>
          <w:iCs/>
        </w:rPr>
        <w:t>t</w:t>
      </w:r>
      <w:r>
        <w:rPr>
          <w:rFonts w:eastAsia="Calibri"/>
        </w:rPr>
        <w:t xml:space="preserve"> = </w:t>
      </w:r>
      <w:r>
        <w:rPr>
          <w:rFonts w:eastAsia="Calibri"/>
          <w:i/>
          <w:iCs/>
        </w:rPr>
        <w:t>n</w:t>
      </w:r>
      <w:r>
        <w:rPr>
          <w:rFonts w:eastAsia="Calibri"/>
        </w:rPr>
        <w:t xml:space="preserve">. This is Topic </w:t>
      </w:r>
      <w:r w:rsidR="003558C9">
        <w:rPr>
          <w:rFonts w:eastAsia="Calibri"/>
        </w:rPr>
        <w:t>1</w:t>
      </w:r>
      <w:r>
        <w:rPr>
          <w:rFonts w:eastAsia="Calibri"/>
        </w:rPr>
        <w:t>’s discounting rule, applied to a stream that never ends.</w:t>
      </w:r>
    </w:p>
    <w:p w14:paraId="6170C26E" w14:textId="77777777" w:rsidR="00211410" w:rsidRDefault="00000000">
      <w:pPr>
        <w:pStyle w:val="ListParagraph"/>
        <w:numPr>
          <w:ilvl w:val="0"/>
          <w:numId w:val="2"/>
        </w:numPr>
        <w:spacing w:after="40" w:line="256" w:lineRule="auto"/>
      </w:pPr>
      <w:r>
        <w:rPr>
          <w:rFonts w:eastAsia="Calibri"/>
          <w:b/>
          <w:bCs/>
        </w:rPr>
        <w:t xml:space="preserve">Step 2 — firm value under uncertainty. </w:t>
      </w:r>
      <w:r>
        <w:rPr>
          <w:rFonts w:eastAsia="Calibri"/>
        </w:rPr>
        <w:t xml:space="preserve">No one knows future cash flows. We replace each with its </w:t>
      </w:r>
      <w:r>
        <w:rPr>
          <w:rFonts w:eastAsia="Calibri"/>
          <w:b/>
          <w:bCs/>
        </w:rPr>
        <w:t>expected value</w:t>
      </w:r>
      <w:r>
        <w:rPr>
          <w:rFonts w:eastAsia="Calibri"/>
        </w:rPr>
        <w:t>:</w:t>
      </w:r>
    </w:p>
    <w:p w14:paraId="3DDFF20B" w14:textId="77777777" w:rsidR="00211410" w:rsidRDefault="00000000">
      <w:pPr>
        <w:spacing w:before="70" w:after="90"/>
        <w:jc w:val="center"/>
      </w:pPr>
      <m:oMath>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V</m:t>
            </m:r>
          </m:e>
          <m:sub>
            <m:r>
              <w:rPr>
                <w:rFonts w:ascii="Cambria Math" w:eastAsia="Cambria Math" w:hAnsi="Cambria Math" w:cs="Cambria Math"/>
                <w:color w:val="000000"/>
                <w:sz w:val="21"/>
                <w:szCs w:val="21"/>
              </w:rPr>
              <m:t>0</m:t>
            </m:r>
          </m:sub>
        </m:sSub>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d>
              <m:dPr>
                <m:ctrlPr>
                  <w:rPr>
                    <w:rFonts w:ascii="Cambria Math" w:eastAsia="Cambria Math" w:hAnsi="Cambria Math" w:cs="Cambria Math"/>
                    <w:i/>
                    <w:color w:val="000000"/>
                    <w:sz w:val="21"/>
                    <w:szCs w:val="21"/>
                  </w:rPr>
                </m:ctrlPr>
              </m:dP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1</m:t>
                    </m:r>
                  </m:sub>
                </m:sSub>
              </m:e>
            </m:d>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1</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d>
              <m:dPr>
                <m:ctrlPr>
                  <w:rPr>
                    <w:rFonts w:ascii="Cambria Math" w:eastAsia="Cambria Math" w:hAnsi="Cambria Math" w:cs="Cambria Math"/>
                    <w:i/>
                    <w:color w:val="000000"/>
                    <w:sz w:val="21"/>
                    <w:szCs w:val="21"/>
                  </w:rPr>
                </m:ctrlPr>
              </m:dP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2</m:t>
                    </m:r>
                  </m:sub>
                </m:sSub>
              </m:e>
            </m:d>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2</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d>
              <m:dPr>
                <m:ctrlPr>
                  <w:rPr>
                    <w:rFonts w:ascii="Cambria Math" w:eastAsia="Cambria Math" w:hAnsi="Cambria Math" w:cs="Cambria Math"/>
                    <w:i/>
                    <w:color w:val="000000"/>
                    <w:sz w:val="21"/>
                    <w:szCs w:val="21"/>
                  </w:rPr>
                </m:ctrlPr>
              </m:dP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3</m:t>
                    </m:r>
                  </m:sub>
                </m:sSub>
              </m:e>
            </m:d>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3</m:t>
                </m:r>
              </m:sup>
            </m:sSup>
          </m:den>
        </m:f>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d>
              <m:dPr>
                <m:ctrlPr>
                  <w:rPr>
                    <w:rFonts w:ascii="Cambria Math" w:eastAsia="Cambria Math" w:hAnsi="Cambria Math" w:cs="Cambria Math"/>
                    <w:i/>
                    <w:color w:val="000000"/>
                    <w:sz w:val="21"/>
                    <w:szCs w:val="21"/>
                  </w:rPr>
                </m:ctrlPr>
              </m:dPr>
              <m:e>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m:t>
                    </m:r>
                  </m:sub>
                </m:sSub>
              </m:e>
            </m:d>
          </m:num>
          <m:den>
            <m:sSup>
              <m:sSupPr>
                <m:ctrlPr>
                  <w:rPr>
                    <w:rFonts w:ascii="Cambria Math" w:eastAsia="Cambria Math" w:hAnsi="Cambria Math" w:cs="Cambria Math"/>
                    <w:i/>
                    <w:color w:val="000000"/>
                    <w:sz w:val="21"/>
                    <w:szCs w:val="21"/>
                  </w:rPr>
                </m:ctrlPr>
              </m:sSupPr>
              <m:e>
                <m:d>
                  <m:dPr>
                    <m:ctrlPr>
                      <w:rPr>
                        <w:rFonts w:ascii="Cambria Math" w:eastAsia="Cambria Math" w:hAnsi="Cambria Math" w:cs="Cambria Math"/>
                        <w:i/>
                        <w:color w:val="000000"/>
                        <w:sz w:val="21"/>
                        <w:szCs w:val="21"/>
                      </w:rPr>
                    </m:ctrlPr>
                  </m:dPr>
                  <m:e>
                    <m:r>
                      <w:rPr>
                        <w:rFonts w:ascii="Cambria Math" w:eastAsia="Cambria Math" w:hAnsi="Cambria Math" w:cs="Cambria Math"/>
                        <w:color w:val="000000"/>
                        <w:sz w:val="21"/>
                        <w:szCs w:val="21"/>
                      </w:rPr>
                      <m:t>1+r</m:t>
                    </m:r>
                  </m:e>
                </m:d>
              </m:e>
              <m:sup>
                <m:r>
                  <w:rPr>
                    <w:rFonts w:ascii="Cambria Math" w:eastAsia="Cambria Math" w:hAnsi="Cambria Math" w:cs="Cambria Math"/>
                    <w:color w:val="000000"/>
                    <w:sz w:val="21"/>
                    <w:szCs w:val="21"/>
                  </w:rPr>
                  <m:t>∞</m:t>
                </m:r>
              </m:sup>
            </m:sSup>
          </m:den>
        </m:f>
      </m:oMath>
      <w:r>
        <w:rPr>
          <w:rFonts w:eastAsia="Calibri"/>
          <w:color w:val="000000"/>
          <w:sz w:val="21"/>
          <w:szCs w:val="21"/>
        </w:rPr>
        <w:t xml:space="preserve">   (2)</w:t>
      </w:r>
    </w:p>
    <w:p w14:paraId="5355620B" w14:textId="77777777" w:rsidR="00211410" w:rsidRDefault="00000000">
      <w:pPr>
        <w:pStyle w:val="ListParagraph"/>
        <w:numPr>
          <w:ilvl w:val="1"/>
          <w:numId w:val="2"/>
        </w:numPr>
        <w:spacing w:after="40" w:line="256" w:lineRule="auto"/>
      </w:pPr>
      <w:r>
        <w:rPr>
          <w:rFonts w:eastAsia="Calibri"/>
        </w:rPr>
        <w:t xml:space="preserve">where </w:t>
      </w:r>
      <w:r>
        <w:rPr>
          <w:rFonts w:eastAsia="Calibri"/>
          <w:i/>
          <w:iCs/>
        </w:rPr>
        <w:t>E(·)</w:t>
      </w:r>
      <w:r>
        <w:rPr>
          <w:rFonts w:eastAsia="Calibri"/>
        </w:rPr>
        <w:t xml:space="preserve"> denotes the expected value. Note what has quietly changed: </w:t>
      </w:r>
      <w:r>
        <w:rPr>
          <w:rFonts w:eastAsia="Calibri"/>
          <w:i/>
          <w:iCs/>
        </w:rPr>
        <w:t>r</w:t>
      </w:r>
      <w:r>
        <w:rPr>
          <w:rFonts w:eastAsia="Calibri"/>
        </w:rPr>
        <w:t xml:space="preserve"> must now compensate for risk as well as time, because the numerators are expectations rather than certainties. This is the risk force from the P/E topic, entering through the discount rate.</w:t>
      </w:r>
    </w:p>
    <w:p w14:paraId="0D9F15DE" w14:textId="77777777" w:rsidR="00211410" w:rsidRDefault="00000000">
      <w:pPr>
        <w:pStyle w:val="ListParagraph"/>
        <w:numPr>
          <w:ilvl w:val="0"/>
          <w:numId w:val="2"/>
        </w:numPr>
        <w:spacing w:after="40" w:line="256" w:lineRule="auto"/>
      </w:pPr>
      <w:r>
        <w:rPr>
          <w:rFonts w:eastAsia="Calibri"/>
          <w:b/>
          <w:bCs/>
        </w:rPr>
        <w:t xml:space="preserve">Step 3 — firm value with a finite forecast horizon. </w:t>
      </w:r>
      <w:r>
        <w:rPr>
          <w:rFonts w:eastAsia="Calibri"/>
        </w:rPr>
        <w:t>Equation (2) is correct but unusable: forecasting to infinity is not possible. In practice analysts split the stream in two:</w:t>
      </w:r>
    </w:p>
    <w:p w14:paraId="2B169F45" w14:textId="77777777" w:rsidR="00211410" w:rsidRDefault="00000000">
      <w:pPr>
        <w:pStyle w:val="ListParagraph"/>
        <w:numPr>
          <w:ilvl w:val="1"/>
          <w:numId w:val="2"/>
        </w:numPr>
        <w:spacing w:after="40" w:line="256" w:lineRule="auto"/>
      </w:pPr>
      <w:r>
        <w:rPr>
          <w:rFonts w:eastAsia="Calibri"/>
        </w:rPr>
        <w:t xml:space="preserve">An </w:t>
      </w:r>
      <w:r>
        <w:rPr>
          <w:rFonts w:eastAsia="Calibri"/>
          <w:b/>
          <w:bCs/>
        </w:rPr>
        <w:t>explicit forecast horizon</w:t>
      </w:r>
      <w:r>
        <w:rPr>
          <w:rFonts w:eastAsia="Calibri"/>
        </w:rPr>
        <w:t xml:space="preserve"> — typically five years — over which FCF is projected year by year.</w:t>
      </w:r>
    </w:p>
    <w:p w14:paraId="1DE8E7B2" w14:textId="77777777" w:rsidR="00211410" w:rsidRDefault="00000000">
      <w:pPr>
        <w:pStyle w:val="ListParagraph"/>
        <w:numPr>
          <w:ilvl w:val="1"/>
          <w:numId w:val="2"/>
        </w:numPr>
        <w:spacing w:after="40" w:line="256" w:lineRule="auto"/>
      </w:pPr>
      <w:r>
        <w:rPr>
          <w:rFonts w:eastAsia="Calibri"/>
        </w:rPr>
        <w:t xml:space="preserve">A </w:t>
      </w:r>
      <w:r>
        <w:rPr>
          <w:rFonts w:eastAsia="Calibri"/>
          <w:b/>
          <w:bCs/>
        </w:rPr>
        <w:t>terminal value</w:t>
      </w:r>
      <w:r>
        <w:rPr>
          <w:rFonts w:eastAsia="Calibri"/>
        </w:rPr>
        <w:t xml:space="preserve"> — a single figure capturing everything beyond the horizon.</w:t>
      </w:r>
    </w:p>
    <w:p w14:paraId="0B0D5209" w14:textId="77777777" w:rsidR="00211410" w:rsidRDefault="00000000">
      <w:pPr>
        <w:pStyle w:val="ListParagraph"/>
        <w:numPr>
          <w:ilvl w:val="0"/>
          <w:numId w:val="2"/>
        </w:numPr>
        <w:spacing w:after="40" w:line="256" w:lineRule="auto"/>
      </w:pPr>
      <w:r>
        <w:rPr>
          <w:rFonts w:eastAsia="Calibri"/>
        </w:rPr>
        <w:t>Equation (2) can then be rewritten as:</w:t>
      </w:r>
    </w:p>
    <w:p w14:paraId="1910E9DB" w14:textId="167A01AD" w:rsidR="00211410" w:rsidRDefault="00000000">
      <w:pPr>
        <w:spacing w:before="70" w:after="90"/>
        <w:jc w:val="center"/>
      </w:pPr>
      <m:oMath>
        <m:sSub>
          <m:sSubPr>
            <m:ctrlPr>
              <w:rPr>
                <w:rFonts w:ascii="Cambria Math" w:eastAsia="Cambria Math" w:hAnsi="Cambria Math" w:cs="Cambria Math"/>
                <w:i/>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0</m:t>
            </m:r>
          </m:sub>
        </m:sSub>
        <m:r>
          <w:rPr>
            <w:rFonts w:ascii="Cambria Math" w:eastAsia="Cambria Math" w:hAnsi="Cambria Math" w:cs="Cambria Math"/>
            <w:color w:val="000000"/>
          </w:rPr>
          <m:t>=</m:t>
        </m:r>
        <m:f>
          <m:fPr>
            <m:ctrlPr>
              <w:rPr>
                <w:rFonts w:ascii="Cambria Math" w:eastAsia="Cambria Math" w:hAnsi="Cambria Math" w:cs="Cambria Math"/>
                <w:i/>
                <w:color w:val="000000"/>
              </w:rPr>
            </m:ctrlPr>
          </m:fPr>
          <m:num>
            <m:r>
              <w:rPr>
                <w:rFonts w:ascii="Cambria Math" w:eastAsia="Cambria Math" w:hAnsi="Cambria Math" w:cs="Cambria Math"/>
                <w:color w:val="000000"/>
              </w:rPr>
              <m:t>E</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FCF</m:t>
                    </m:r>
                  </m:e>
                  <m:sub>
                    <m:r>
                      <w:rPr>
                        <w:rFonts w:ascii="Cambria Math" w:eastAsia="Cambria Math" w:hAnsi="Cambria Math" w:cs="Cambria Math"/>
                        <w:color w:val="000000"/>
                      </w:rPr>
                      <m:t>1</m:t>
                    </m:r>
                  </m:sub>
                </m:sSub>
              </m:e>
            </m:d>
          </m:num>
          <m:den>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1</m:t>
                </m:r>
              </m:sup>
            </m:sSup>
          </m:den>
        </m:f>
        <m:r>
          <w:rPr>
            <w:rFonts w:ascii="Cambria Math" w:eastAsia="Cambria Math" w:hAnsi="Cambria Math" w:cs="Cambria Math"/>
            <w:color w:val="000000"/>
          </w:rPr>
          <m:t>+⋯+</m:t>
        </m:r>
        <m:f>
          <m:fPr>
            <m:ctrlPr>
              <w:rPr>
                <w:rFonts w:ascii="Cambria Math" w:eastAsia="Cambria Math" w:hAnsi="Cambria Math" w:cs="Cambria Math"/>
                <w:i/>
                <w:color w:val="000000"/>
              </w:rPr>
            </m:ctrlPr>
          </m:fPr>
          <m:num>
            <m:r>
              <w:rPr>
                <w:rFonts w:ascii="Cambria Math" w:eastAsia="Cambria Math" w:hAnsi="Cambria Math" w:cs="Cambria Math"/>
                <w:color w:val="000000"/>
              </w:rPr>
              <m:t>E</m:t>
            </m:r>
            <m:d>
              <m:dPr>
                <m:ctrlPr>
                  <w:rPr>
                    <w:rFonts w:ascii="Cambria Math" w:eastAsia="Cambria Math" w:hAnsi="Cambria Math" w:cs="Cambria Math"/>
                    <w:i/>
                    <w:color w:val="000000"/>
                  </w:rPr>
                </m:ctrlPr>
              </m:dPr>
              <m:e>
                <m:sSub>
                  <m:sSubPr>
                    <m:ctrlPr>
                      <w:rPr>
                        <w:rFonts w:ascii="Cambria Math" w:eastAsia="Cambria Math" w:hAnsi="Cambria Math" w:cs="Cambria Math"/>
                        <w:i/>
                        <w:color w:val="000000"/>
                      </w:rPr>
                    </m:ctrlPr>
                  </m:sSubPr>
                  <m:e>
                    <m:r>
                      <w:rPr>
                        <w:rFonts w:ascii="Cambria Math" w:eastAsia="Cambria Math" w:hAnsi="Cambria Math" w:cs="Cambria Math"/>
                        <w:color w:val="000000"/>
                      </w:rPr>
                      <m:t>FCF</m:t>
                    </m:r>
                  </m:e>
                  <m:sub>
                    <m:r>
                      <w:rPr>
                        <w:rFonts w:ascii="Cambria Math" w:eastAsia="Cambria Math" w:hAnsi="Cambria Math" w:cs="Cambria Math"/>
                        <w:color w:val="000000"/>
                      </w:rPr>
                      <m:t>5</m:t>
                    </m:r>
                  </m:sub>
                </m:sSub>
              </m:e>
            </m:d>
          </m:num>
          <m:den>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5</m:t>
                </m:r>
              </m:sup>
            </m:sSup>
          </m:den>
        </m:f>
        <m:r>
          <w:rPr>
            <w:rFonts w:ascii="Cambria Math" w:eastAsia="Cambria Math" w:hAnsi="Cambria Math" w:cs="Cambria Math"/>
            <w:color w:val="000000"/>
          </w:rPr>
          <m:t>+</m:t>
        </m:r>
        <m:f>
          <m:fPr>
            <m:ctrlPr>
              <w:rPr>
                <w:rFonts w:ascii="Cambria Math" w:eastAsia="Cambria Math" w:hAnsi="Cambria Math" w:cs="Cambria Math"/>
                <w:i/>
                <w:color w:val="000000"/>
              </w:rPr>
            </m:ctrlPr>
          </m:fPr>
          <m:num>
            <m:r>
              <m:rPr>
                <m:nor/>
              </m:rPr>
              <w:rPr>
                <w:rFonts w:ascii="Cambria Math" w:eastAsia="Cambria Math" w:hAnsi="Cambria Math" w:cs="Cambria Math"/>
                <w:i/>
                <w:color w:val="000000"/>
              </w:rPr>
              <m:t>Terminal Value</m:t>
            </m:r>
          </m:num>
          <m:den>
            <m:sSup>
              <m:sSupPr>
                <m:ctrlPr>
                  <w:rPr>
                    <w:rFonts w:ascii="Cambria Math" w:eastAsia="Cambria Math" w:hAnsi="Cambria Math" w:cs="Cambria Math"/>
                    <w:i/>
                    <w:color w:val="000000"/>
                  </w:rPr>
                </m:ctrlPr>
              </m:sSupPr>
              <m:e>
                <m:d>
                  <m:dPr>
                    <m:ctrlPr>
                      <w:rPr>
                        <w:rFonts w:ascii="Cambria Math" w:eastAsia="Cambria Math" w:hAnsi="Cambria Math" w:cs="Cambria Math"/>
                        <w:i/>
                        <w:color w:val="000000"/>
                      </w:rPr>
                    </m:ctrlPr>
                  </m:dPr>
                  <m:e>
                    <m:r>
                      <w:rPr>
                        <w:rFonts w:ascii="Cambria Math" w:eastAsia="Cambria Math" w:hAnsi="Cambria Math" w:cs="Cambria Math"/>
                        <w:color w:val="000000"/>
                      </w:rPr>
                      <m:t>1+r</m:t>
                    </m:r>
                  </m:e>
                </m:d>
              </m:e>
              <m:sup>
                <m:r>
                  <w:rPr>
                    <w:rFonts w:ascii="Cambria Math" w:eastAsia="Cambria Math" w:hAnsi="Cambria Math" w:cs="Cambria Math"/>
                    <w:color w:val="000000"/>
                  </w:rPr>
                  <m:t>5</m:t>
                </m:r>
              </m:sup>
            </m:sSup>
          </m:den>
        </m:f>
      </m:oMath>
      <w:r>
        <w:rPr>
          <w:rFonts w:eastAsia="Calibri"/>
          <w:color w:val="000000"/>
        </w:rPr>
        <w:t xml:space="preserve">   (3)</w:t>
      </w:r>
    </w:p>
    <w:p w14:paraId="38E82E15" w14:textId="77777777" w:rsidR="00211410" w:rsidRDefault="00000000">
      <w:pPr>
        <w:pStyle w:val="ListParagraph"/>
        <w:numPr>
          <w:ilvl w:val="0"/>
          <w:numId w:val="2"/>
        </w:numPr>
        <w:spacing w:after="40" w:line="256" w:lineRule="auto"/>
      </w:pPr>
      <w:r>
        <w:rPr>
          <w:rFonts w:eastAsia="Calibri"/>
        </w:rPr>
        <w:t>which is exactly the two-piece formula stated above:</w:t>
      </w:r>
    </w:p>
    <w:p w14:paraId="3E3CA5F5" w14:textId="77777777" w:rsidR="00211410" w:rsidRPr="00942515" w:rsidRDefault="00000000">
      <w:pPr>
        <w:spacing w:before="70" w:after="90"/>
        <w:jc w:val="center"/>
        <w:rPr>
          <w:sz w:val="20"/>
          <w:szCs w:val="20"/>
        </w:rPr>
      </w:pPr>
      <w:r w:rsidRPr="00942515">
        <w:rPr>
          <w:rFonts w:ascii="Cambria Math" w:eastAsia="Cambria Math" w:hAnsi="Cambria Math" w:cs="Cambria Math"/>
          <w:i/>
          <w:iCs/>
          <w:color w:val="000000"/>
        </w:rPr>
        <w:t>Firm Value  =  PV(FCF, Years 1–5)  +  PV(Terminal Value)</w:t>
      </w:r>
    </w:p>
    <w:p w14:paraId="37B78909" w14:textId="77777777" w:rsidR="00211410" w:rsidRDefault="00000000">
      <w:pPr>
        <w:pStyle w:val="ListParagraph"/>
        <w:numPr>
          <w:ilvl w:val="0"/>
          <w:numId w:val="2"/>
        </w:numPr>
        <w:spacing w:after="40" w:line="256" w:lineRule="auto"/>
      </w:pPr>
      <w:r>
        <w:rPr>
          <w:rFonts w:eastAsia="Calibri"/>
          <w:b/>
          <w:bCs/>
        </w:rPr>
        <w:t>What the three steps buy you.</w:t>
      </w:r>
    </w:p>
    <w:p w14:paraId="171100BA" w14:textId="4658D188" w:rsidR="00211410" w:rsidRDefault="00000000">
      <w:pPr>
        <w:pStyle w:val="ListParagraph"/>
        <w:numPr>
          <w:ilvl w:val="1"/>
          <w:numId w:val="2"/>
        </w:numPr>
        <w:spacing w:after="40" w:line="256" w:lineRule="auto"/>
      </w:pPr>
      <w:r>
        <w:rPr>
          <w:rFonts w:eastAsia="Calibri"/>
        </w:rPr>
        <w:t xml:space="preserve">Nothing has been approximated between (1) and (3) </w:t>
      </w:r>
      <w:r>
        <w:rPr>
          <w:rFonts w:eastAsia="Calibri"/>
          <w:b/>
          <w:bCs/>
        </w:rPr>
        <w:t>except</w:t>
      </w:r>
      <w:r>
        <w:rPr>
          <w:rFonts w:eastAsia="Calibri"/>
        </w:rPr>
        <w:t xml:space="preserve"> the assumption that the terminal value correctly </w:t>
      </w:r>
      <w:r w:rsidR="00FC7BFD">
        <w:rPr>
          <w:rFonts w:eastAsia="Calibri"/>
        </w:rPr>
        <w:t>summarizes</w:t>
      </w:r>
      <w:r>
        <w:rPr>
          <w:rFonts w:eastAsia="Calibri"/>
        </w:rPr>
        <w:t xml:space="preserve"> the tail. The five-year horizon is not where the model becomes an estimate — the </w:t>
      </w:r>
      <w:r>
        <w:rPr>
          <w:rFonts w:eastAsia="Calibri"/>
          <w:b/>
          <w:bCs/>
        </w:rPr>
        <w:t>expectations</w:t>
      </w:r>
      <w:r>
        <w:rPr>
          <w:rFonts w:eastAsia="Calibri"/>
        </w:rPr>
        <w:t xml:space="preserve"> in (2) already made it one.</w:t>
      </w:r>
    </w:p>
    <w:p w14:paraId="0255ACFA" w14:textId="427996B1" w:rsidR="00211410" w:rsidRDefault="00000000">
      <w:pPr>
        <w:pStyle w:val="ListParagraph"/>
        <w:numPr>
          <w:ilvl w:val="1"/>
          <w:numId w:val="2"/>
        </w:numPr>
        <w:spacing w:after="40" w:line="256" w:lineRule="auto"/>
      </w:pPr>
      <w:r>
        <w:rPr>
          <w:rFonts w:eastAsia="Calibri"/>
        </w:rPr>
        <w:lastRenderedPageBreak/>
        <w:t>The horizon is a matter of forecasting practicality, not theory. Five years is a convention, not a law</w:t>
      </w:r>
      <w:r w:rsidR="006F5A47">
        <w:rPr>
          <w:rFonts w:eastAsia="Calibri"/>
        </w:rPr>
        <w:t>.</w:t>
      </w:r>
    </w:p>
    <w:p w14:paraId="55B3FB77"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The Five-Step Procedure</w:t>
      </w:r>
    </w:p>
    <w:p w14:paraId="74C2F7FE" w14:textId="77777777" w:rsidR="00546EEB" w:rsidRDefault="00000000">
      <w:pPr>
        <w:tabs>
          <w:tab w:val="left" w:pos="648"/>
        </w:tabs>
        <w:spacing w:after="50" w:line="260" w:lineRule="auto"/>
        <w:ind w:left="648" w:hanging="360"/>
      </w:pPr>
      <w:r>
        <w:rPr>
          <w:rFonts w:eastAsia="Calibri"/>
          <w:b/>
          <w:bCs/>
          <w:color w:val="1F3864"/>
        </w:rPr>
        <w:t>1.</w:t>
      </w:r>
      <w:r>
        <w:rPr>
          <w:rFonts w:eastAsia="Calibri"/>
        </w:rPr>
        <w:tab/>
        <w:t>Forecast sales (revenue) for the explicit horizon, anchored to the most recent actual results.</w:t>
      </w:r>
    </w:p>
    <w:p w14:paraId="76B0BD76" w14:textId="77777777" w:rsidR="00546EEB" w:rsidRDefault="00000000">
      <w:pPr>
        <w:tabs>
          <w:tab w:val="left" w:pos="648"/>
        </w:tabs>
        <w:spacing w:after="50" w:line="260" w:lineRule="auto"/>
        <w:ind w:left="648" w:hanging="360"/>
      </w:pPr>
      <w:r>
        <w:rPr>
          <w:rFonts w:eastAsia="Calibri"/>
          <w:b/>
          <w:bCs/>
          <w:color w:val="1F3864"/>
        </w:rPr>
        <w:t>2.</w:t>
      </w:r>
      <w:r>
        <w:rPr>
          <w:rFonts w:eastAsia="Calibri"/>
        </w:rPr>
        <w:tab/>
        <w:t>Project expenses from the sales forecast to arrive at operating income.</w:t>
      </w:r>
    </w:p>
    <w:p w14:paraId="7561512C" w14:textId="77777777" w:rsidR="00546EEB" w:rsidRDefault="00000000">
      <w:pPr>
        <w:tabs>
          <w:tab w:val="left" w:pos="648"/>
        </w:tabs>
        <w:spacing w:after="50" w:line="260" w:lineRule="auto"/>
        <w:ind w:left="648" w:hanging="360"/>
      </w:pPr>
      <w:r>
        <w:rPr>
          <w:rFonts w:eastAsia="Calibri"/>
          <w:b/>
          <w:bCs/>
          <w:color w:val="1F3864"/>
        </w:rPr>
        <w:t>3.</w:t>
      </w:r>
      <w:r>
        <w:rPr>
          <w:rFonts w:eastAsia="Calibri"/>
        </w:rPr>
        <w:tab/>
        <w:t>Convert income into free cash flow (adjust for non-cash items and reinvestment).</w:t>
      </w:r>
    </w:p>
    <w:p w14:paraId="3174082F" w14:textId="77777777" w:rsidR="00546EEB" w:rsidRDefault="00000000">
      <w:pPr>
        <w:tabs>
          <w:tab w:val="left" w:pos="648"/>
        </w:tabs>
        <w:spacing w:after="50" w:line="260" w:lineRule="auto"/>
        <w:ind w:left="648" w:hanging="360"/>
      </w:pPr>
      <w:r>
        <w:rPr>
          <w:rFonts w:eastAsia="Calibri"/>
          <w:b/>
          <w:bCs/>
          <w:color w:val="1F3864"/>
        </w:rPr>
        <w:t>4.</w:t>
      </w:r>
      <w:r>
        <w:rPr>
          <w:rFonts w:eastAsia="Calibri"/>
        </w:rPr>
        <w:tab/>
        <w:t>Estimate the terminal value at the end of the horizon, assuming FCF grows at a steady long-run rate forever:</w:t>
      </w:r>
    </w:p>
    <w:p w14:paraId="4B6ACF03" w14:textId="77777777" w:rsidR="00546EEB" w:rsidRPr="00007A1B" w:rsidRDefault="00000000">
      <w:pPr>
        <w:spacing w:before="70" w:after="90"/>
        <w:jc w:val="center"/>
        <w:rPr>
          <w:sz w:val="18"/>
          <w:szCs w:val="18"/>
        </w:rPr>
      </w:pPr>
      <m:oMathPara>
        <m:oMath>
          <m:r>
            <m:rPr>
              <m:nor/>
            </m:rPr>
            <w:rPr>
              <w:rFonts w:ascii="Cambria Math" w:eastAsia="Cambria Math" w:hAnsi="Cambria Math" w:cs="Cambria Math"/>
              <w:i/>
              <w:color w:val="000000"/>
              <w:sz w:val="21"/>
              <w:szCs w:val="21"/>
            </w:rPr>
            <m:t xml:space="preserve">Terminal Value </m:t>
          </m:r>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i/>
                  <w:color w:val="000000"/>
                  <w:sz w:val="21"/>
                  <w:szCs w:val="21"/>
                </w:rPr>
                <m:t xml:space="preserve">end of Year </m:t>
              </m:r>
              <m:r>
                <w:rPr>
                  <w:rFonts w:ascii="Cambria Math" w:eastAsia="Cambria Math" w:hAnsi="Cambria Math" w:cs="Cambria Math"/>
                  <w:color w:val="000000"/>
                  <w:sz w:val="21"/>
                  <w:szCs w:val="21"/>
                </w:rPr>
                <m:t>n</m:t>
              </m:r>
            </m:e>
          </m:d>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FCF</m:t>
                  </m:r>
                </m:e>
                <m:sub>
                  <m:r>
                    <w:rPr>
                      <w:rFonts w:ascii="Cambria Math" w:eastAsia="Cambria Math" w:hAnsi="Cambria Math" w:cs="Cambria Math"/>
                      <w:color w:val="000000"/>
                      <w:sz w:val="21"/>
                      <w:szCs w:val="21"/>
                    </w:rPr>
                    <m:t>n+1</m:t>
                  </m:r>
                </m:sub>
              </m:sSub>
            </m:num>
            <m:den>
              <m:r>
                <w:rPr>
                  <w:rFonts w:ascii="Cambria Math" w:eastAsia="Cambria Math" w:hAnsi="Cambria Math" w:cs="Cambria Math"/>
                  <w:color w:val="000000"/>
                  <w:sz w:val="21"/>
                  <w:szCs w:val="21"/>
                </w:rPr>
                <m:t>r-g</m:t>
              </m:r>
            </m:den>
          </m:f>
        </m:oMath>
      </m:oMathPara>
    </w:p>
    <w:p w14:paraId="5B947B0F" w14:textId="77777777" w:rsidR="00546EEB" w:rsidRDefault="00000000">
      <w:pPr>
        <w:tabs>
          <w:tab w:val="left" w:pos="648"/>
        </w:tabs>
        <w:spacing w:after="50" w:line="260" w:lineRule="auto"/>
        <w:ind w:left="648" w:hanging="360"/>
      </w:pPr>
      <w:r>
        <w:rPr>
          <w:rFonts w:eastAsia="Calibri"/>
          <w:b/>
          <w:bCs/>
          <w:color w:val="1F3864"/>
        </w:rPr>
        <w:t>5.</w:t>
      </w:r>
      <w:r>
        <w:rPr>
          <w:rFonts w:eastAsia="Calibri"/>
        </w:rPr>
        <w:tab/>
        <w:t>Discount the explicit FCFs and the terminal value to the present at the discount rate r, and sum them to obtain firm value.</w:t>
      </w:r>
    </w:p>
    <w:p w14:paraId="6A41C789"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A Worked Example</w:t>
      </w:r>
    </w:p>
    <w:p w14:paraId="7890D1D8" w14:textId="77777777" w:rsidR="00546EEB" w:rsidRDefault="00000000">
      <w:pPr>
        <w:pStyle w:val="ListParagraph"/>
        <w:numPr>
          <w:ilvl w:val="0"/>
          <w:numId w:val="2"/>
        </w:numPr>
        <w:spacing w:after="40" w:line="256" w:lineRule="auto"/>
      </w:pPr>
      <w:r>
        <w:rPr>
          <w:rFonts w:eastAsia="Calibri"/>
        </w:rPr>
        <w:t xml:space="preserve">Assume a discount rate </w:t>
      </w:r>
      <w:r>
        <w:rPr>
          <w:rFonts w:ascii="Cambria Math" w:eastAsia="Cambria Math" w:hAnsi="Cambria Math" w:cs="Cambria Math"/>
          <w:i/>
          <w:iCs/>
        </w:rPr>
        <w:t>r</w:t>
      </w:r>
      <w:r>
        <w:rPr>
          <w:rFonts w:eastAsia="Calibri"/>
        </w:rPr>
        <w:t xml:space="preserve"> = 10% and a long-run growth rate </w:t>
      </w:r>
      <w:r>
        <w:rPr>
          <w:rFonts w:ascii="Cambria Math" w:eastAsia="Cambria Math" w:hAnsi="Cambria Math" w:cs="Cambria Math"/>
          <w:i/>
          <w:iCs/>
        </w:rPr>
        <w:t>g</w:t>
      </w:r>
      <w:r>
        <w:rPr>
          <w:rFonts w:eastAsia="Calibri"/>
        </w:rPr>
        <w:t xml:space="preserve"> = 3%. The projected free cash flows and their present values are shown below ($ in millions).</w:t>
      </w:r>
    </w:p>
    <w:p w14:paraId="210068EA" w14:textId="77777777" w:rsidR="00546EEB" w:rsidRDefault="00546EEB">
      <w:pPr>
        <w:spacing w:after="60"/>
      </w:pPr>
    </w:p>
    <w:tbl>
      <w:tblPr>
        <w:tblW w:w="4589"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2309"/>
        <w:gridCol w:w="2892"/>
        <w:gridCol w:w="1791"/>
      </w:tblGrid>
      <w:tr w:rsidR="00546EEB" w14:paraId="7528879C" w14:textId="77777777" w:rsidTr="00D570A5">
        <w:trPr>
          <w:tblHeader/>
        </w:trPr>
        <w:tc>
          <w:tcPr>
            <w:tcW w:w="1283"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39F2D318" w14:textId="77777777" w:rsidR="00546EEB" w:rsidRPr="00E67546" w:rsidRDefault="00000000" w:rsidP="00E67546">
            <w:pPr>
              <w:jc w:val="center"/>
              <w:rPr>
                <w:sz w:val="21"/>
                <w:szCs w:val="21"/>
              </w:rPr>
            </w:pPr>
            <w:r w:rsidRPr="00E67546">
              <w:rPr>
                <w:rFonts w:eastAsia="Calibri"/>
                <w:b/>
                <w:bCs/>
                <w:color w:val="1F3864"/>
                <w:sz w:val="21"/>
                <w:szCs w:val="21"/>
              </w:rPr>
              <w:t>Year</w:t>
            </w:r>
          </w:p>
        </w:tc>
        <w:tc>
          <w:tcPr>
            <w:tcW w:w="2309"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33990F4B" w14:textId="77777777" w:rsidR="00546EEB" w:rsidRPr="00E67546" w:rsidRDefault="00000000" w:rsidP="00E67546">
            <w:pPr>
              <w:jc w:val="center"/>
              <w:rPr>
                <w:sz w:val="21"/>
                <w:szCs w:val="21"/>
              </w:rPr>
            </w:pPr>
            <w:r w:rsidRPr="00E67546">
              <w:rPr>
                <w:rFonts w:eastAsia="Calibri"/>
                <w:b/>
                <w:bCs/>
                <w:color w:val="1F3864"/>
                <w:sz w:val="21"/>
                <w:szCs w:val="21"/>
              </w:rPr>
              <w:t>FCF ($M)</w:t>
            </w:r>
          </w:p>
        </w:tc>
        <w:tc>
          <w:tcPr>
            <w:tcW w:w="2892"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11EC8658" w14:textId="77777777" w:rsidR="00546EEB" w:rsidRPr="00E67546" w:rsidRDefault="00000000" w:rsidP="00E67546">
            <w:pPr>
              <w:jc w:val="center"/>
              <w:rPr>
                <w:sz w:val="21"/>
                <w:szCs w:val="21"/>
              </w:rPr>
            </w:pPr>
            <w:r w:rsidRPr="00E67546">
              <w:rPr>
                <w:rFonts w:eastAsia="Calibri"/>
                <w:b/>
                <w:bCs/>
                <w:color w:val="1F3864"/>
                <w:sz w:val="21"/>
                <w:szCs w:val="21"/>
              </w:rPr>
              <w:t>Discount factor @ 10%</w:t>
            </w:r>
          </w:p>
        </w:tc>
        <w:tc>
          <w:tcPr>
            <w:tcW w:w="1791"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39EA8622" w14:textId="77777777" w:rsidR="00546EEB" w:rsidRPr="00E67546" w:rsidRDefault="00000000" w:rsidP="00E67546">
            <w:pPr>
              <w:jc w:val="center"/>
              <w:rPr>
                <w:sz w:val="21"/>
                <w:szCs w:val="21"/>
              </w:rPr>
            </w:pPr>
            <w:r w:rsidRPr="00E67546">
              <w:rPr>
                <w:rFonts w:eastAsia="Calibri"/>
                <w:b/>
                <w:bCs/>
                <w:color w:val="1F3864"/>
                <w:sz w:val="21"/>
                <w:szCs w:val="21"/>
              </w:rPr>
              <w:t>PV of FCF ($M)</w:t>
            </w:r>
          </w:p>
        </w:tc>
      </w:tr>
      <w:tr w:rsidR="00546EEB" w14:paraId="3F7D33EC" w14:textId="77777777" w:rsidTr="00E67546">
        <w:trPr>
          <w:trHeight w:val="236"/>
        </w:trPr>
        <w:tc>
          <w:tcPr>
            <w:tcW w:w="1283"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EE773E5" w14:textId="77777777" w:rsidR="00546EEB" w:rsidRPr="00E67546" w:rsidRDefault="00000000" w:rsidP="00E67546">
            <w:pPr>
              <w:jc w:val="center"/>
              <w:rPr>
                <w:sz w:val="21"/>
                <w:szCs w:val="21"/>
              </w:rPr>
            </w:pPr>
            <w:r w:rsidRPr="00E67546">
              <w:rPr>
                <w:rFonts w:eastAsia="Calibri"/>
                <w:sz w:val="21"/>
                <w:szCs w:val="21"/>
              </w:rPr>
              <w:t>1</w:t>
            </w:r>
          </w:p>
        </w:tc>
        <w:tc>
          <w:tcPr>
            <w:tcW w:w="230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55D45D" w14:textId="77777777" w:rsidR="00546EEB" w:rsidRPr="00E67546" w:rsidRDefault="00000000" w:rsidP="00E67546">
            <w:pPr>
              <w:jc w:val="center"/>
              <w:rPr>
                <w:sz w:val="21"/>
                <w:szCs w:val="21"/>
              </w:rPr>
            </w:pPr>
            <w:r w:rsidRPr="00E67546">
              <w:rPr>
                <w:rFonts w:eastAsia="Calibri"/>
                <w:sz w:val="21"/>
                <w:szCs w:val="21"/>
              </w:rPr>
              <w:t>100.0</w:t>
            </w:r>
          </w:p>
        </w:tc>
        <w:tc>
          <w:tcPr>
            <w:tcW w:w="28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7C0A1CA" w14:textId="77777777" w:rsidR="00546EEB" w:rsidRPr="00E67546" w:rsidRDefault="00000000" w:rsidP="00E67546">
            <w:pPr>
              <w:jc w:val="center"/>
              <w:rPr>
                <w:sz w:val="21"/>
                <w:szCs w:val="21"/>
              </w:rPr>
            </w:pPr>
            <w:r w:rsidRPr="00E67546">
              <w:rPr>
                <w:rFonts w:eastAsia="Calibri"/>
                <w:sz w:val="21"/>
                <w:szCs w:val="21"/>
              </w:rPr>
              <w:t>0.9091</w:t>
            </w:r>
          </w:p>
        </w:tc>
        <w:tc>
          <w:tcPr>
            <w:tcW w:w="1791"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40BB074" w14:textId="77777777" w:rsidR="00546EEB" w:rsidRPr="00E67546" w:rsidRDefault="00000000" w:rsidP="00E67546">
            <w:pPr>
              <w:jc w:val="center"/>
              <w:rPr>
                <w:sz w:val="21"/>
                <w:szCs w:val="21"/>
              </w:rPr>
            </w:pPr>
            <w:r w:rsidRPr="00E67546">
              <w:rPr>
                <w:rFonts w:eastAsia="Calibri"/>
                <w:sz w:val="21"/>
                <w:szCs w:val="21"/>
              </w:rPr>
              <w:t>90.9</w:t>
            </w:r>
          </w:p>
        </w:tc>
      </w:tr>
      <w:tr w:rsidR="00546EEB" w14:paraId="2A817434" w14:textId="77777777" w:rsidTr="00D570A5">
        <w:tc>
          <w:tcPr>
            <w:tcW w:w="1283"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413DC026" w14:textId="77777777" w:rsidR="00546EEB" w:rsidRPr="00E67546" w:rsidRDefault="00000000" w:rsidP="00E67546">
            <w:pPr>
              <w:jc w:val="center"/>
              <w:rPr>
                <w:sz w:val="21"/>
                <w:szCs w:val="21"/>
              </w:rPr>
            </w:pPr>
            <w:r w:rsidRPr="00E67546">
              <w:rPr>
                <w:rFonts w:eastAsia="Calibri"/>
                <w:sz w:val="21"/>
                <w:szCs w:val="21"/>
              </w:rPr>
              <w:t>2</w:t>
            </w:r>
          </w:p>
        </w:tc>
        <w:tc>
          <w:tcPr>
            <w:tcW w:w="2309"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79013C5B" w14:textId="77777777" w:rsidR="00546EEB" w:rsidRPr="00E67546" w:rsidRDefault="00000000" w:rsidP="00E67546">
            <w:pPr>
              <w:jc w:val="center"/>
              <w:rPr>
                <w:sz w:val="21"/>
                <w:szCs w:val="21"/>
              </w:rPr>
            </w:pPr>
            <w:r w:rsidRPr="00E67546">
              <w:rPr>
                <w:rFonts w:eastAsia="Calibri"/>
                <w:sz w:val="21"/>
                <w:szCs w:val="21"/>
              </w:rPr>
              <w:t>115.0</w:t>
            </w:r>
          </w:p>
        </w:tc>
        <w:tc>
          <w:tcPr>
            <w:tcW w:w="2892"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3F7564FF" w14:textId="77777777" w:rsidR="00546EEB" w:rsidRPr="00E67546" w:rsidRDefault="00000000" w:rsidP="00E67546">
            <w:pPr>
              <w:jc w:val="center"/>
              <w:rPr>
                <w:sz w:val="21"/>
                <w:szCs w:val="21"/>
              </w:rPr>
            </w:pPr>
            <w:r w:rsidRPr="00E67546">
              <w:rPr>
                <w:rFonts w:eastAsia="Calibri"/>
                <w:sz w:val="21"/>
                <w:szCs w:val="21"/>
              </w:rPr>
              <w:t>0.8264</w:t>
            </w:r>
          </w:p>
        </w:tc>
        <w:tc>
          <w:tcPr>
            <w:tcW w:w="1791"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15B060E2" w14:textId="77777777" w:rsidR="00546EEB" w:rsidRPr="00E67546" w:rsidRDefault="00000000" w:rsidP="00E67546">
            <w:pPr>
              <w:jc w:val="center"/>
              <w:rPr>
                <w:sz w:val="21"/>
                <w:szCs w:val="21"/>
              </w:rPr>
            </w:pPr>
            <w:r w:rsidRPr="00E67546">
              <w:rPr>
                <w:rFonts w:eastAsia="Calibri"/>
                <w:sz w:val="21"/>
                <w:szCs w:val="21"/>
              </w:rPr>
              <w:t>95.0</w:t>
            </w:r>
          </w:p>
        </w:tc>
      </w:tr>
      <w:tr w:rsidR="00546EEB" w14:paraId="7330D09D" w14:textId="77777777" w:rsidTr="00D570A5">
        <w:tc>
          <w:tcPr>
            <w:tcW w:w="1283"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353A7E9" w14:textId="77777777" w:rsidR="00546EEB" w:rsidRPr="00E67546" w:rsidRDefault="00000000" w:rsidP="00E67546">
            <w:pPr>
              <w:jc w:val="center"/>
              <w:rPr>
                <w:sz w:val="21"/>
                <w:szCs w:val="21"/>
              </w:rPr>
            </w:pPr>
            <w:r w:rsidRPr="00E67546">
              <w:rPr>
                <w:rFonts w:eastAsia="Calibri"/>
                <w:sz w:val="21"/>
                <w:szCs w:val="21"/>
              </w:rPr>
              <w:t>3</w:t>
            </w:r>
          </w:p>
        </w:tc>
        <w:tc>
          <w:tcPr>
            <w:tcW w:w="230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B5D783F" w14:textId="77777777" w:rsidR="00546EEB" w:rsidRPr="00E67546" w:rsidRDefault="00000000" w:rsidP="00E67546">
            <w:pPr>
              <w:jc w:val="center"/>
              <w:rPr>
                <w:sz w:val="21"/>
                <w:szCs w:val="21"/>
              </w:rPr>
            </w:pPr>
            <w:r w:rsidRPr="00E67546">
              <w:rPr>
                <w:rFonts w:eastAsia="Calibri"/>
                <w:sz w:val="21"/>
                <w:szCs w:val="21"/>
              </w:rPr>
              <w:t>130.0</w:t>
            </w:r>
          </w:p>
        </w:tc>
        <w:tc>
          <w:tcPr>
            <w:tcW w:w="28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BDB0A96" w14:textId="77777777" w:rsidR="00546EEB" w:rsidRPr="00E67546" w:rsidRDefault="00000000" w:rsidP="00E67546">
            <w:pPr>
              <w:jc w:val="center"/>
              <w:rPr>
                <w:sz w:val="21"/>
                <w:szCs w:val="21"/>
              </w:rPr>
            </w:pPr>
            <w:r w:rsidRPr="00E67546">
              <w:rPr>
                <w:rFonts w:eastAsia="Calibri"/>
                <w:sz w:val="21"/>
                <w:szCs w:val="21"/>
              </w:rPr>
              <w:t>0.7513</w:t>
            </w:r>
          </w:p>
        </w:tc>
        <w:tc>
          <w:tcPr>
            <w:tcW w:w="1791"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D320684" w14:textId="77777777" w:rsidR="00546EEB" w:rsidRPr="00E67546" w:rsidRDefault="00000000" w:rsidP="00E67546">
            <w:pPr>
              <w:jc w:val="center"/>
              <w:rPr>
                <w:sz w:val="21"/>
                <w:szCs w:val="21"/>
              </w:rPr>
            </w:pPr>
            <w:r w:rsidRPr="00E67546">
              <w:rPr>
                <w:rFonts w:eastAsia="Calibri"/>
                <w:sz w:val="21"/>
                <w:szCs w:val="21"/>
              </w:rPr>
              <w:t>97.7</w:t>
            </w:r>
          </w:p>
        </w:tc>
      </w:tr>
      <w:tr w:rsidR="00546EEB" w14:paraId="40D0981D" w14:textId="77777777" w:rsidTr="00D570A5">
        <w:tc>
          <w:tcPr>
            <w:tcW w:w="1283"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32C00EFF" w14:textId="77777777" w:rsidR="00546EEB" w:rsidRPr="00E67546" w:rsidRDefault="00000000" w:rsidP="00E67546">
            <w:pPr>
              <w:jc w:val="center"/>
              <w:rPr>
                <w:sz w:val="21"/>
                <w:szCs w:val="21"/>
              </w:rPr>
            </w:pPr>
            <w:r w:rsidRPr="00E67546">
              <w:rPr>
                <w:rFonts w:eastAsia="Calibri"/>
                <w:sz w:val="21"/>
                <w:szCs w:val="21"/>
              </w:rPr>
              <w:t>4</w:t>
            </w:r>
          </w:p>
        </w:tc>
        <w:tc>
          <w:tcPr>
            <w:tcW w:w="2309"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0D0C1F23" w14:textId="77777777" w:rsidR="00546EEB" w:rsidRPr="00E67546" w:rsidRDefault="00000000" w:rsidP="00E67546">
            <w:pPr>
              <w:jc w:val="center"/>
              <w:rPr>
                <w:sz w:val="21"/>
                <w:szCs w:val="21"/>
              </w:rPr>
            </w:pPr>
            <w:r w:rsidRPr="00E67546">
              <w:rPr>
                <w:rFonts w:eastAsia="Calibri"/>
                <w:sz w:val="21"/>
                <w:szCs w:val="21"/>
              </w:rPr>
              <w:t>145.0</w:t>
            </w:r>
          </w:p>
        </w:tc>
        <w:tc>
          <w:tcPr>
            <w:tcW w:w="2892"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251334AB" w14:textId="77777777" w:rsidR="00546EEB" w:rsidRPr="00E67546" w:rsidRDefault="00000000" w:rsidP="00E67546">
            <w:pPr>
              <w:jc w:val="center"/>
              <w:rPr>
                <w:sz w:val="21"/>
                <w:szCs w:val="21"/>
              </w:rPr>
            </w:pPr>
            <w:r w:rsidRPr="00E67546">
              <w:rPr>
                <w:rFonts w:eastAsia="Calibri"/>
                <w:sz w:val="21"/>
                <w:szCs w:val="21"/>
              </w:rPr>
              <w:t>0.6830</w:t>
            </w:r>
          </w:p>
        </w:tc>
        <w:tc>
          <w:tcPr>
            <w:tcW w:w="1791"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6CD84B60" w14:textId="77777777" w:rsidR="00546EEB" w:rsidRPr="00E67546" w:rsidRDefault="00000000" w:rsidP="00E67546">
            <w:pPr>
              <w:jc w:val="center"/>
              <w:rPr>
                <w:sz w:val="21"/>
                <w:szCs w:val="21"/>
              </w:rPr>
            </w:pPr>
            <w:r w:rsidRPr="00E67546">
              <w:rPr>
                <w:rFonts w:eastAsia="Calibri"/>
                <w:sz w:val="21"/>
                <w:szCs w:val="21"/>
              </w:rPr>
              <w:t>99.0</w:t>
            </w:r>
          </w:p>
        </w:tc>
      </w:tr>
      <w:tr w:rsidR="00546EEB" w14:paraId="43419DB4" w14:textId="77777777" w:rsidTr="00D570A5">
        <w:tc>
          <w:tcPr>
            <w:tcW w:w="1283"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D685C4A" w14:textId="77777777" w:rsidR="00546EEB" w:rsidRPr="00E67546" w:rsidRDefault="00000000" w:rsidP="00E67546">
            <w:pPr>
              <w:jc w:val="center"/>
              <w:rPr>
                <w:sz w:val="21"/>
                <w:szCs w:val="21"/>
              </w:rPr>
            </w:pPr>
            <w:r w:rsidRPr="00E67546">
              <w:rPr>
                <w:rFonts w:eastAsia="Calibri"/>
                <w:sz w:val="21"/>
                <w:szCs w:val="21"/>
              </w:rPr>
              <w:t>5</w:t>
            </w:r>
          </w:p>
        </w:tc>
        <w:tc>
          <w:tcPr>
            <w:tcW w:w="230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7A94EDC" w14:textId="77777777" w:rsidR="00546EEB" w:rsidRPr="00E67546" w:rsidRDefault="00000000" w:rsidP="00E67546">
            <w:pPr>
              <w:jc w:val="center"/>
              <w:rPr>
                <w:sz w:val="21"/>
                <w:szCs w:val="21"/>
              </w:rPr>
            </w:pPr>
            <w:r w:rsidRPr="00E67546">
              <w:rPr>
                <w:rFonts w:eastAsia="Calibri"/>
                <w:sz w:val="21"/>
                <w:szCs w:val="21"/>
              </w:rPr>
              <w:t>160.0</w:t>
            </w:r>
          </w:p>
        </w:tc>
        <w:tc>
          <w:tcPr>
            <w:tcW w:w="28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5432ECE" w14:textId="77777777" w:rsidR="00546EEB" w:rsidRPr="00E67546" w:rsidRDefault="00000000" w:rsidP="00E67546">
            <w:pPr>
              <w:jc w:val="center"/>
              <w:rPr>
                <w:sz w:val="21"/>
                <w:szCs w:val="21"/>
              </w:rPr>
            </w:pPr>
            <w:r w:rsidRPr="00E67546">
              <w:rPr>
                <w:rFonts w:eastAsia="Calibri"/>
                <w:sz w:val="21"/>
                <w:szCs w:val="21"/>
              </w:rPr>
              <w:t>0.6209</w:t>
            </w:r>
          </w:p>
        </w:tc>
        <w:tc>
          <w:tcPr>
            <w:tcW w:w="1791"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D67695B" w14:textId="77777777" w:rsidR="00546EEB" w:rsidRPr="00E67546" w:rsidRDefault="00000000" w:rsidP="00E67546">
            <w:pPr>
              <w:jc w:val="center"/>
              <w:rPr>
                <w:sz w:val="21"/>
                <w:szCs w:val="21"/>
              </w:rPr>
            </w:pPr>
            <w:r w:rsidRPr="00E67546">
              <w:rPr>
                <w:rFonts w:eastAsia="Calibri"/>
                <w:sz w:val="21"/>
                <w:szCs w:val="21"/>
              </w:rPr>
              <w:t>99.3</w:t>
            </w:r>
          </w:p>
        </w:tc>
      </w:tr>
    </w:tbl>
    <w:p w14:paraId="474BCD78" w14:textId="77777777" w:rsidR="00546EEB" w:rsidRDefault="00546EEB">
      <w:pPr>
        <w:spacing w:after="40"/>
      </w:pPr>
    </w:p>
    <w:tbl>
      <w:tblPr>
        <w:tblW w:w="7560" w:type="dxa"/>
        <w:tblInd w:w="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tblGrid>
      <w:tr w:rsidR="00546EEB" w14:paraId="3D9DE8CF" w14:textId="77777777" w:rsidTr="00D570A5">
        <w:tc>
          <w:tcPr>
            <w:tcW w:w="5040" w:type="dxa"/>
            <w:tcBorders>
              <w:top w:val="single" w:sz="14" w:space="0" w:color="000000"/>
              <w:left w:val="none" w:sz="0" w:space="0" w:color="FFFFFF"/>
              <w:bottom w:val="single" w:sz="14" w:space="0" w:color="000000"/>
              <w:right w:val="none" w:sz="0" w:space="0" w:color="FFFFFF"/>
            </w:tcBorders>
            <w:tcMar>
              <w:top w:w="40" w:type="dxa"/>
              <w:left w:w="60" w:type="dxa"/>
              <w:bottom w:w="40" w:type="dxa"/>
              <w:right w:w="80" w:type="dxa"/>
            </w:tcMar>
          </w:tcPr>
          <w:p w14:paraId="42164E95" w14:textId="77777777" w:rsidR="00546EEB" w:rsidRDefault="00000000">
            <w:r>
              <w:rPr>
                <w:rFonts w:eastAsia="Calibri"/>
                <w:b/>
                <w:bCs/>
                <w:color w:val="1F3864"/>
              </w:rPr>
              <w:t>Sum: PV of free cash flows (Years 1–5)</w:t>
            </w:r>
          </w:p>
        </w:tc>
        <w:tc>
          <w:tcPr>
            <w:tcW w:w="2520" w:type="dxa"/>
            <w:tcBorders>
              <w:top w:val="single" w:sz="14" w:space="0" w:color="000000"/>
              <w:left w:val="none" w:sz="0" w:space="0" w:color="FFFFFF"/>
              <w:bottom w:val="single" w:sz="14" w:space="0" w:color="000000"/>
              <w:right w:val="none" w:sz="0" w:space="0" w:color="FFFFFF"/>
            </w:tcBorders>
            <w:tcMar>
              <w:top w:w="40" w:type="dxa"/>
              <w:left w:w="60" w:type="dxa"/>
              <w:bottom w:w="40" w:type="dxa"/>
              <w:right w:w="60" w:type="dxa"/>
            </w:tcMar>
          </w:tcPr>
          <w:p w14:paraId="6CD189BC" w14:textId="77777777" w:rsidR="00546EEB" w:rsidRDefault="00000000">
            <w:pPr>
              <w:jc w:val="right"/>
            </w:pPr>
            <w:r>
              <w:rPr>
                <w:rFonts w:eastAsia="Calibri"/>
                <w:b/>
                <w:bCs/>
                <w:color w:val="C00000"/>
              </w:rPr>
              <w:t>$ 482.0</w:t>
            </w:r>
          </w:p>
        </w:tc>
      </w:tr>
    </w:tbl>
    <w:p w14:paraId="6DF91C3F" w14:textId="77777777" w:rsidR="00546EEB" w:rsidRDefault="00546EEB">
      <w:pPr>
        <w:spacing w:after="100"/>
      </w:pPr>
    </w:p>
    <w:p w14:paraId="08BD8EEE" w14:textId="77777777" w:rsidR="00546EEB" w:rsidRDefault="00000000" w:rsidP="00D570A5">
      <w:pPr>
        <w:pStyle w:val="ListParagraph"/>
        <w:numPr>
          <w:ilvl w:val="0"/>
          <w:numId w:val="2"/>
        </w:numPr>
      </w:pPr>
      <w:r>
        <w:rPr>
          <w:rFonts w:eastAsia="Calibri"/>
        </w:rPr>
        <w:t>Now value everything beyond Year 5 with the growing-perpetuity (terminal value) formula:</w:t>
      </w:r>
    </w:p>
    <w:tbl>
      <w:tblPr>
        <w:tblW w:w="720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tblGrid>
      <w:tr w:rsidR="00546EEB" w14:paraId="1FC5E2A9" w14:textId="77777777" w:rsidTr="00D570A5">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6B21059E" w14:textId="77777777" w:rsidR="00546EEB" w:rsidRDefault="00000000" w:rsidP="00D570A5">
            <w:r>
              <w:rPr>
                <w:rFonts w:eastAsia="Calibri"/>
                <w:color w:val="000000"/>
              </w:rPr>
              <w:t>FCF in Year 6  =  $160.0M × (1 + 0.03)</w:t>
            </w:r>
          </w:p>
        </w:tc>
        <w:tc>
          <w:tcPr>
            <w:tcW w:w="216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6CE17156" w14:textId="77777777" w:rsidR="00546EEB" w:rsidRDefault="00000000" w:rsidP="00D570A5">
            <w:pPr>
              <w:jc w:val="right"/>
            </w:pPr>
            <w:r>
              <w:rPr>
                <w:rFonts w:eastAsia="Calibri"/>
                <w:color w:val="C00000"/>
              </w:rPr>
              <w:t>$ 164.8</w:t>
            </w:r>
          </w:p>
        </w:tc>
      </w:tr>
      <w:tr w:rsidR="00546EEB" w14:paraId="2E46C269" w14:textId="77777777" w:rsidTr="00E67546">
        <w:trPr>
          <w:trHeight w:val="545"/>
        </w:trPr>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05952EF6" w14:textId="77777777" w:rsidR="00546EEB" w:rsidRDefault="00000000" w:rsidP="00D570A5">
            <m:oMathPara>
              <m:oMath>
                <m:r>
                  <m:rPr>
                    <m:nor/>
                  </m:rPr>
                  <w:rPr>
                    <w:rFonts w:ascii="Cambria Math" w:eastAsia="Cambria Math" w:hAnsi="Cambria Math" w:cs="Cambria Math"/>
                    <w:color w:val="000000"/>
                    <w:sz w:val="20"/>
                    <w:szCs w:val="20"/>
                  </w:rPr>
                  <m:t>Terminal Value at end of Year 5</m:t>
                </m:r>
                <m:r>
                  <w:rPr>
                    <w:rFonts w:ascii="Cambria Math" w:eastAsia="Cambria Math" w:hAnsi="Cambria Math" w:cs="Cambria Math"/>
                    <w:color w:val="000000"/>
                    <w:sz w:val="20"/>
                    <w:szCs w:val="20"/>
                  </w:rPr>
                  <m:t>=</m:t>
                </m:r>
                <m:f>
                  <m:fPr>
                    <m:ctrlPr>
                      <w:rPr>
                        <w:rFonts w:ascii="Cambria Math" w:eastAsia="Cambria Math" w:hAnsi="Cambria Math" w:cs="Cambria Math"/>
                        <w:i/>
                        <w:color w:val="000000"/>
                        <w:sz w:val="20"/>
                        <w:szCs w:val="20"/>
                      </w:rPr>
                    </m:ctrlPr>
                  </m:fPr>
                  <m:num>
                    <m:r>
                      <m:rPr>
                        <m:nor/>
                      </m:rPr>
                      <w:rPr>
                        <w:rFonts w:ascii="Cambria Math" w:eastAsia="Cambria Math" w:hAnsi="Cambria Math" w:cs="Cambria Math"/>
                        <w:color w:val="000000"/>
                        <w:sz w:val="20"/>
                        <w:szCs w:val="20"/>
                      </w:rPr>
                      <m:t>$164.8M</m:t>
                    </m:r>
                  </m:num>
                  <m:den>
                    <m:r>
                      <w:rPr>
                        <w:rFonts w:ascii="Cambria Math" w:eastAsia="Cambria Math" w:hAnsi="Cambria Math" w:cs="Cambria Math"/>
                        <w:color w:val="000000"/>
                        <w:sz w:val="20"/>
                        <w:szCs w:val="20"/>
                      </w:rPr>
                      <m:t>0.10-0.03</m:t>
                    </m:r>
                  </m:den>
                </m:f>
              </m:oMath>
            </m:oMathPara>
          </w:p>
        </w:tc>
        <w:tc>
          <w:tcPr>
            <w:tcW w:w="21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37445F" w14:textId="77777777" w:rsidR="00546EEB" w:rsidRDefault="00000000" w:rsidP="00D570A5">
            <w:pPr>
              <w:jc w:val="right"/>
            </w:pPr>
            <w:r>
              <w:rPr>
                <w:rFonts w:eastAsia="Calibri"/>
                <w:color w:val="C00000"/>
              </w:rPr>
              <w:t>$2,354.3</w:t>
            </w:r>
          </w:p>
        </w:tc>
      </w:tr>
      <w:tr w:rsidR="00546EEB" w14:paraId="2E3A49F1" w14:textId="77777777" w:rsidTr="00D570A5">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6B9CFE13" w14:textId="77777777" w:rsidR="00546EEB" w:rsidRDefault="00000000" w:rsidP="00D570A5">
            <w:r>
              <w:rPr>
                <w:rFonts w:eastAsia="Calibri"/>
                <w:b/>
                <w:bCs/>
                <w:color w:val="1F3864"/>
              </w:rPr>
              <w:t>PV of Terminal Value  =  $2,354.3M × 0.6209</w:t>
            </w:r>
          </w:p>
        </w:tc>
        <w:tc>
          <w:tcPr>
            <w:tcW w:w="216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00CC0722" w14:textId="77777777" w:rsidR="00546EEB" w:rsidRDefault="00000000" w:rsidP="00D570A5">
            <w:pPr>
              <w:jc w:val="right"/>
            </w:pPr>
            <w:r>
              <w:rPr>
                <w:rFonts w:eastAsia="Calibri"/>
                <w:b/>
                <w:bCs/>
                <w:color w:val="C00000"/>
              </w:rPr>
              <w:t>$1,461.8</w:t>
            </w:r>
          </w:p>
        </w:tc>
      </w:tr>
    </w:tbl>
    <w:p w14:paraId="0D336AF0" w14:textId="77777777" w:rsidR="00546EEB" w:rsidRDefault="00546EEB" w:rsidP="00D570A5"/>
    <w:p w14:paraId="089A23A3" w14:textId="77777777" w:rsidR="00546EEB" w:rsidRDefault="00000000" w:rsidP="00D570A5">
      <w:pPr>
        <w:pStyle w:val="ListParagraph"/>
        <w:numPr>
          <w:ilvl w:val="0"/>
          <w:numId w:val="2"/>
        </w:numPr>
      </w:pPr>
      <w:r>
        <w:rPr>
          <w:rFonts w:eastAsia="Calibri"/>
        </w:rPr>
        <w:t>Add the two present values to get the value of the whole firm, then bridge to value per share:</w:t>
      </w:r>
    </w:p>
    <w:tbl>
      <w:tblPr>
        <w:tblW w:w="720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tblGrid>
      <w:tr w:rsidR="00546EEB" w14:paraId="6EC72A7C" w14:textId="77777777" w:rsidTr="00D570A5">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1C55E704" w14:textId="77777777" w:rsidR="00546EEB" w:rsidRDefault="00000000" w:rsidP="00D570A5">
            <w:r>
              <w:rPr>
                <w:rFonts w:eastAsia="Calibri"/>
                <w:color w:val="000000"/>
              </w:rPr>
              <w:t>PV of free cash flows (Years 1–5)</w:t>
            </w:r>
          </w:p>
        </w:tc>
        <w:tc>
          <w:tcPr>
            <w:tcW w:w="216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268C4887" w14:textId="77777777" w:rsidR="00546EEB" w:rsidRDefault="00000000" w:rsidP="00D570A5">
            <w:pPr>
              <w:jc w:val="right"/>
            </w:pPr>
            <w:r>
              <w:rPr>
                <w:rFonts w:eastAsia="Calibri"/>
                <w:color w:val="C00000"/>
              </w:rPr>
              <w:t>$    482.0</w:t>
            </w:r>
          </w:p>
        </w:tc>
      </w:tr>
      <w:tr w:rsidR="00546EEB" w14:paraId="043D620C"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69B5CB85" w14:textId="77777777" w:rsidR="00546EEB" w:rsidRDefault="00000000" w:rsidP="00D570A5">
            <w:r>
              <w:rPr>
                <w:rFonts w:eastAsia="Calibri"/>
                <w:color w:val="000000"/>
              </w:rPr>
              <w:t>PV of terminal value</w:t>
            </w:r>
          </w:p>
        </w:tc>
        <w:tc>
          <w:tcPr>
            <w:tcW w:w="21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4DA845" w14:textId="77777777" w:rsidR="00546EEB" w:rsidRDefault="00000000" w:rsidP="00D570A5">
            <w:pPr>
              <w:jc w:val="right"/>
            </w:pPr>
            <w:r>
              <w:rPr>
                <w:rFonts w:eastAsia="Calibri"/>
                <w:color w:val="C00000"/>
              </w:rPr>
              <w:t>$ 1,461.8</w:t>
            </w:r>
          </w:p>
        </w:tc>
      </w:tr>
      <w:tr w:rsidR="00546EEB" w14:paraId="19B49774"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41E706F4" w14:textId="77777777" w:rsidR="00546EEB" w:rsidRDefault="00000000" w:rsidP="00D570A5">
            <w:r>
              <w:rPr>
                <w:rFonts w:eastAsia="Calibri"/>
                <w:b/>
                <w:bCs/>
                <w:color w:val="1F3864"/>
              </w:rPr>
              <w:t>Firm (enterprise) value</w:t>
            </w:r>
          </w:p>
        </w:tc>
        <w:tc>
          <w:tcPr>
            <w:tcW w:w="2160" w:type="dxa"/>
            <w:tcBorders>
              <w:top w:val="single" w:sz="6" w:space="0" w:color="000000"/>
              <w:left w:val="none" w:sz="0" w:space="0" w:color="FFFFFF"/>
              <w:bottom w:val="none" w:sz="0" w:space="0" w:color="FFFFFF"/>
              <w:right w:val="none" w:sz="0" w:space="0" w:color="FFFFFF"/>
            </w:tcBorders>
            <w:tcMar>
              <w:top w:w="40" w:type="dxa"/>
              <w:left w:w="60" w:type="dxa"/>
              <w:bottom w:w="40" w:type="dxa"/>
              <w:right w:w="60" w:type="dxa"/>
            </w:tcMar>
          </w:tcPr>
          <w:p w14:paraId="57029901" w14:textId="77777777" w:rsidR="00546EEB" w:rsidRDefault="00000000" w:rsidP="00D570A5">
            <w:pPr>
              <w:jc w:val="right"/>
            </w:pPr>
            <w:r>
              <w:rPr>
                <w:rFonts w:eastAsia="Calibri"/>
                <w:b/>
                <w:bCs/>
                <w:color w:val="C00000"/>
              </w:rPr>
              <w:t>$ 1,943.8</w:t>
            </w:r>
          </w:p>
        </w:tc>
      </w:tr>
      <w:tr w:rsidR="00546EEB" w14:paraId="38122BB3"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4022F9AF" w14:textId="77777777" w:rsidR="00546EEB" w:rsidRDefault="00000000" w:rsidP="00D570A5">
            <w:r>
              <w:rPr>
                <w:rFonts w:eastAsia="Calibri"/>
                <w:color w:val="000000"/>
              </w:rPr>
              <w:t>Less: net debt</w:t>
            </w:r>
          </w:p>
        </w:tc>
        <w:tc>
          <w:tcPr>
            <w:tcW w:w="21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D17F6D" w14:textId="77777777" w:rsidR="00546EEB" w:rsidRDefault="00000000" w:rsidP="00D570A5">
            <w:pPr>
              <w:jc w:val="right"/>
            </w:pPr>
            <w:r>
              <w:rPr>
                <w:rFonts w:eastAsia="Calibri"/>
                <w:color w:val="C00000"/>
              </w:rPr>
              <w:t>($   300.0)</w:t>
            </w:r>
          </w:p>
        </w:tc>
      </w:tr>
      <w:tr w:rsidR="00546EEB" w14:paraId="48225EF5"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2C234739" w14:textId="77777777" w:rsidR="00546EEB" w:rsidRDefault="00000000" w:rsidP="00D570A5">
            <w:r>
              <w:rPr>
                <w:rFonts w:eastAsia="Calibri"/>
                <w:b/>
                <w:bCs/>
                <w:color w:val="1F3864"/>
              </w:rPr>
              <w:t>Equity value</w:t>
            </w:r>
          </w:p>
        </w:tc>
        <w:tc>
          <w:tcPr>
            <w:tcW w:w="2160" w:type="dxa"/>
            <w:tcBorders>
              <w:top w:val="single" w:sz="6" w:space="0" w:color="000000"/>
              <w:left w:val="none" w:sz="0" w:space="0" w:color="FFFFFF"/>
              <w:bottom w:val="none" w:sz="0" w:space="0" w:color="FFFFFF"/>
              <w:right w:val="none" w:sz="0" w:space="0" w:color="FFFFFF"/>
            </w:tcBorders>
            <w:tcMar>
              <w:top w:w="40" w:type="dxa"/>
              <w:left w:w="60" w:type="dxa"/>
              <w:bottom w:w="40" w:type="dxa"/>
              <w:right w:w="60" w:type="dxa"/>
            </w:tcMar>
          </w:tcPr>
          <w:p w14:paraId="60701D56" w14:textId="77777777" w:rsidR="00546EEB" w:rsidRDefault="00000000" w:rsidP="00D570A5">
            <w:pPr>
              <w:jc w:val="right"/>
            </w:pPr>
            <w:r>
              <w:rPr>
                <w:rFonts w:eastAsia="Calibri"/>
                <w:b/>
                <w:bCs/>
                <w:color w:val="C00000"/>
              </w:rPr>
              <w:t>$ 1,643.8</w:t>
            </w:r>
          </w:p>
        </w:tc>
      </w:tr>
      <w:tr w:rsidR="00546EEB" w14:paraId="0BE00555"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69A1BA5D" w14:textId="77777777" w:rsidR="00546EEB" w:rsidRDefault="00000000" w:rsidP="00D570A5">
            <w:r>
              <w:rPr>
                <w:rFonts w:eastAsia="Calibri"/>
                <w:color w:val="000000"/>
              </w:rPr>
              <w:t>÷ Shares outstanding (millions)</w:t>
            </w:r>
          </w:p>
        </w:tc>
        <w:tc>
          <w:tcPr>
            <w:tcW w:w="21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77680F" w14:textId="77777777" w:rsidR="00546EEB" w:rsidRDefault="00000000" w:rsidP="00D570A5">
            <w:pPr>
              <w:jc w:val="right"/>
            </w:pPr>
            <w:r>
              <w:rPr>
                <w:rFonts w:eastAsia="Calibri"/>
                <w:color w:val="C00000"/>
              </w:rPr>
              <w:t>100.0</w:t>
            </w:r>
          </w:p>
        </w:tc>
      </w:tr>
      <w:tr w:rsidR="00546EEB" w14:paraId="53EF2393" w14:textId="77777777" w:rsidTr="00D570A5">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2C39475A" w14:textId="77777777" w:rsidR="00546EEB" w:rsidRDefault="00000000" w:rsidP="00D570A5">
            <w:r>
              <w:rPr>
                <w:rFonts w:eastAsia="Calibri"/>
                <w:b/>
                <w:bCs/>
                <w:color w:val="1F3864"/>
              </w:rPr>
              <w:t>Value per share</w:t>
            </w:r>
          </w:p>
        </w:tc>
        <w:tc>
          <w:tcPr>
            <w:tcW w:w="216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2C730763" w14:textId="77777777" w:rsidR="00546EEB" w:rsidRDefault="00000000" w:rsidP="00D570A5">
            <w:pPr>
              <w:jc w:val="right"/>
            </w:pPr>
            <w:r>
              <w:rPr>
                <w:rFonts w:eastAsia="Calibri"/>
                <w:b/>
                <w:bCs/>
                <w:color w:val="C00000"/>
              </w:rPr>
              <w:t>$16.44</w:t>
            </w:r>
          </w:p>
        </w:tc>
      </w:tr>
    </w:tbl>
    <w:p w14:paraId="1834AA9A" w14:textId="38785555" w:rsidR="00546EEB" w:rsidRDefault="00000000">
      <w:pPr>
        <w:tabs>
          <w:tab w:val="left" w:pos="360"/>
        </w:tabs>
        <w:spacing w:before="160" w:after="80"/>
      </w:pPr>
      <w:r>
        <w:rPr>
          <w:rFonts w:eastAsia="Calibri"/>
          <w:color w:val="1F3864"/>
          <w:sz w:val="27"/>
          <w:szCs w:val="27"/>
        </w:rPr>
        <w:lastRenderedPageBreak/>
        <w:t>D.</w:t>
      </w:r>
      <w:r>
        <w:rPr>
          <w:rFonts w:eastAsia="Calibri"/>
          <w:color w:val="1F3864"/>
          <w:sz w:val="27"/>
          <w:szCs w:val="27"/>
        </w:rPr>
        <w:tab/>
        <w:t>The Punch Line on Terminal Value</w:t>
      </w:r>
    </w:p>
    <w:p w14:paraId="37819483" w14:textId="7B6E6715" w:rsidR="00546EEB" w:rsidRDefault="00E67546">
      <w:pPr>
        <w:pStyle w:val="ListParagraph"/>
        <w:numPr>
          <w:ilvl w:val="0"/>
          <w:numId w:val="2"/>
        </w:numPr>
        <w:spacing w:after="40" w:line="256" w:lineRule="auto"/>
      </w:pPr>
      <w:r>
        <w:rPr>
          <w:noProof/>
        </w:rPr>
        <w:drawing>
          <wp:anchor distT="0" distB="0" distL="114300" distR="114300" simplePos="0" relativeHeight="251662336" behindDoc="0" locked="0" layoutInCell="1" allowOverlap="1" wp14:anchorId="79CC2EFE" wp14:editId="5F118F59">
            <wp:simplePos x="0" y="0"/>
            <wp:positionH relativeFrom="column">
              <wp:posOffset>2772410</wp:posOffset>
            </wp:positionH>
            <wp:positionV relativeFrom="paragraph">
              <wp:posOffset>51435</wp:posOffset>
            </wp:positionV>
            <wp:extent cx="3315335" cy="2290445"/>
            <wp:effectExtent l="0" t="0" r="0" b="0"/>
            <wp:wrapThrough wrapText="bothSides">
              <wp:wrapPolygon edited="0">
                <wp:start x="0" y="0"/>
                <wp:lineTo x="0" y="21378"/>
                <wp:lineTo x="21472" y="21378"/>
                <wp:lineTo x="21472" y="0"/>
                <wp:lineTo x="0" y="0"/>
              </wp:wrapPolygon>
            </wp:wrapThrough>
            <wp:docPr id="301" name="Picture 301" descr="DCF timeline. Free cash flows of $100.0M, $115.0M, $130.0M, $145.0M and $160.0M stand on the axis at years 1 to 5 in green, each box area proportional to the amount, so the bars climb 60 percent. The terminal value TV5 of $2,354.3M sits stacked directly on top of the Year 5 cash flow bar, because both are Year 5 amounts. Present values of $90.9M, $95.0M, $97.7M, $99.0M and $99.3M hang below the axis in purple and are nearly flat, climbing only 9 percent. The present value of TV5, $1,461.8M, is stacked directly beneath the Year 5 present value bar, mirroring the stack above. All of them flow left to a firm value at time zero of $1,943.8M, shown as $482.0M plus $1,461.8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f_timeline.png" descr="DCF timeline. Free cash flows of $100.0M, $115.0M, $130.0M, $145.0M and $160.0M stand on the axis at years 1 to 5 in green, each box area proportional to the amount, so the bars climb 60 percent. The terminal value TV5 of $2,354.3M sits stacked directly on top of the Year 5 cash flow bar, because both are Year 5 amounts. Present values of $90.9M, $95.0M, $97.7M, $99.0M and $99.3M hang below the axis in purple and are nearly flat, climbing only 9 percent. The present value of TV5, $1,461.8M, is stacked directly beneath the Year 5 present value bar, mirroring the stack above. All of them flow left to a firm value at time zero of $1,943.8M, shown as $482.0M plus $1,461.8M."/>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5335" cy="2290445"/>
                    </a:xfrm>
                    <a:prstGeom prst="rect">
                      <a:avLst/>
                    </a:prstGeom>
                  </pic:spPr>
                </pic:pic>
              </a:graphicData>
            </a:graphic>
            <wp14:sizeRelH relativeFrom="margin">
              <wp14:pctWidth>0</wp14:pctWidth>
            </wp14:sizeRelH>
            <wp14:sizeRelV relativeFrom="margin">
              <wp14:pctHeight>0</wp14:pctHeight>
            </wp14:sizeRelV>
          </wp:anchor>
        </w:drawing>
      </w:r>
      <w:r>
        <w:rPr>
          <w:rFonts w:eastAsia="Calibri"/>
        </w:rPr>
        <w:t xml:space="preserve">Notice the terminal value provides about </w:t>
      </w:r>
      <w:r>
        <w:rPr>
          <w:rFonts w:eastAsia="Calibri"/>
          <w:b/>
          <w:bCs/>
        </w:rPr>
        <w:t>75%</w:t>
      </w:r>
      <w:r>
        <w:rPr>
          <w:rFonts w:eastAsia="Calibri"/>
        </w:rPr>
        <w:t xml:space="preserve"> of the firm’s total value. This is typical — and it is why </w:t>
      </w:r>
      <w:r>
        <w:rPr>
          <w:rFonts w:ascii="Cambria Math" w:eastAsia="Cambria Math" w:hAnsi="Cambria Math" w:cs="Cambria Math"/>
          <w:i/>
          <w:iCs/>
        </w:rPr>
        <w:t>g</w:t>
      </w:r>
      <w:r>
        <w:rPr>
          <w:rFonts w:eastAsia="Calibri"/>
        </w:rPr>
        <w:t xml:space="preserve"> and </w:t>
      </w:r>
      <w:r>
        <w:rPr>
          <w:rFonts w:ascii="Cambria Math" w:eastAsia="Cambria Math" w:hAnsi="Cambria Math" w:cs="Cambria Math"/>
          <w:i/>
          <w:iCs/>
        </w:rPr>
        <w:t>r</w:t>
      </w:r>
      <w:r>
        <w:rPr>
          <w:rFonts w:eastAsia="Calibri"/>
        </w:rPr>
        <w:t xml:space="preserve"> deserve the most scrutiny: small changes in the spread (r − g) move the answer a lot.</w:t>
      </w:r>
    </w:p>
    <w:p w14:paraId="0D3C583B" w14:textId="77777777" w:rsidR="00E67546" w:rsidRPr="00E67546" w:rsidRDefault="00E67546" w:rsidP="00E67546">
      <w:pPr>
        <w:pStyle w:val="ListParagraph"/>
        <w:spacing w:after="40" w:line="256" w:lineRule="auto"/>
        <w:ind w:left="504"/>
      </w:pPr>
    </w:p>
    <w:p w14:paraId="012B32C5" w14:textId="2DEABE72" w:rsidR="00546EEB" w:rsidRDefault="00000000">
      <w:pPr>
        <w:pStyle w:val="ListParagraph"/>
        <w:numPr>
          <w:ilvl w:val="0"/>
          <w:numId w:val="2"/>
        </w:numPr>
        <w:spacing w:after="40" w:line="256" w:lineRule="auto"/>
      </w:pPr>
      <w:r>
        <w:rPr>
          <w:rFonts w:eastAsia="Calibri"/>
        </w:rPr>
        <w:t xml:space="preserve">This also closes the loop with Topic </w:t>
      </w:r>
      <w:r w:rsidR="000835AD">
        <w:rPr>
          <w:rFonts w:eastAsia="Calibri"/>
        </w:rPr>
        <w:t>4</w:t>
      </w:r>
      <w:r>
        <w:rPr>
          <w:rFonts w:eastAsia="Calibri"/>
        </w:rPr>
        <w:t xml:space="preserve"> — the terminal value is simply a </w:t>
      </w:r>
      <w:r>
        <w:rPr>
          <w:rFonts w:eastAsia="Calibri"/>
          <w:b/>
          <w:bCs/>
          <w:color w:val="C00000"/>
          <w:u w:val="single"/>
        </w:rPr>
        <w:t>growing perpetuity</w:t>
      </w:r>
      <w:r>
        <w:rPr>
          <w:rFonts w:eastAsia="Calibri"/>
        </w:rPr>
        <w:t>, discounted back to today.</w:t>
      </w:r>
    </w:p>
    <w:p w14:paraId="7147667C" w14:textId="77777777" w:rsidR="00546EEB" w:rsidRDefault="00546EEB">
      <w:pPr>
        <w:spacing w:after="120"/>
      </w:pPr>
    </w:p>
    <w:p w14:paraId="172B909E" w14:textId="77777777" w:rsidR="00E67546" w:rsidRDefault="00E67546">
      <w:pPr>
        <w:spacing w:after="120"/>
      </w:pPr>
    </w:p>
    <w:p w14:paraId="2B345000" w14:textId="77777777" w:rsidR="00E67546" w:rsidRDefault="00E67546">
      <w:pPr>
        <w:spacing w:after="120"/>
      </w:pPr>
    </w:p>
    <w:p w14:paraId="117E76CC" w14:textId="77777777" w:rsidR="00E67546" w:rsidRDefault="00E67546">
      <w:pPr>
        <w:spacing w:after="120"/>
      </w:pPr>
    </w:p>
    <w:tbl>
      <w:tblPr>
        <w:tblW w:w="9082"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82"/>
      </w:tblGrid>
      <w:tr w:rsidR="00546EEB" w14:paraId="67DC8205" w14:textId="77777777" w:rsidTr="00D570A5">
        <w:tc>
          <w:tcPr>
            <w:tcW w:w="9082"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5B33A8B8" w14:textId="77777777" w:rsidR="00546EEB" w:rsidRDefault="00000000">
            <w:pPr>
              <w:spacing w:line="264" w:lineRule="auto"/>
            </w:pPr>
            <w:r>
              <w:rPr>
                <w:rFonts w:eastAsia="Calibri"/>
                <w:b/>
                <w:bCs/>
                <w:color w:val="7F6000"/>
              </w:rPr>
              <w:t xml:space="preserve">Key Takeaway:  </w:t>
            </w:r>
            <w:r>
              <w:rPr>
                <w:rFonts w:eastAsia="Calibri"/>
              </w:rPr>
              <w:t>A DCF is only as good as its assumptions — garbage in, garbage out. Its real value is discipline: building one forces you to state, explicitly, what you believe about growth, profitability, reinvestment, and risk.</w:t>
            </w:r>
          </w:p>
        </w:tc>
      </w:tr>
    </w:tbl>
    <w:p w14:paraId="1174D83B" w14:textId="77777777" w:rsidR="00546EEB" w:rsidRDefault="00546EEB">
      <w:pPr>
        <w:spacing w:after="140"/>
      </w:pPr>
    </w:p>
    <w:tbl>
      <w:tblPr>
        <w:tblW w:w="908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80"/>
      </w:tblGrid>
      <w:tr w:rsidR="00546EEB" w14:paraId="3C572AFC" w14:textId="77777777" w:rsidTr="00D570A5">
        <w:tc>
          <w:tcPr>
            <w:tcW w:w="908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4A97FDD0" w14:textId="188C11CC" w:rsidR="00546EEB" w:rsidRDefault="00000000">
            <w:pPr>
              <w:spacing w:after="80"/>
            </w:pPr>
            <w:r>
              <w:rPr>
                <w:rFonts w:eastAsia="Calibri"/>
                <w:b/>
                <w:bCs/>
              </w:rPr>
              <w:t>Concept Quiz #</w:t>
            </w:r>
            <w:r w:rsidR="00C170E7">
              <w:rPr>
                <w:rFonts w:eastAsia="Calibri"/>
                <w:b/>
                <w:bCs/>
              </w:rPr>
              <w:t>3</w:t>
            </w:r>
          </w:p>
          <w:p w14:paraId="43F0FF1C" w14:textId="77777777" w:rsidR="00546EEB" w:rsidRDefault="00000000">
            <w:pPr>
              <w:tabs>
                <w:tab w:val="left" w:pos="432"/>
              </w:tabs>
              <w:spacing w:before="120" w:after="30"/>
              <w:ind w:left="432" w:hanging="288"/>
            </w:pPr>
            <w:r>
              <w:rPr>
                <w:rFonts w:eastAsia="Calibri"/>
              </w:rPr>
              <w:t>1.</w:t>
            </w:r>
            <w:r>
              <w:rPr>
                <w:rFonts w:eastAsia="Calibri"/>
              </w:rPr>
              <w:tab/>
              <w:t>In a five-year DCF, the terminal value is used to capture:</w:t>
            </w:r>
          </w:p>
          <w:p w14:paraId="0F77BA41" w14:textId="77777777" w:rsidR="00546EEB" w:rsidRDefault="00000000">
            <w:pPr>
              <w:tabs>
                <w:tab w:val="left" w:pos="792"/>
              </w:tabs>
              <w:spacing w:after="14"/>
              <w:ind w:left="792" w:hanging="288"/>
            </w:pPr>
            <w:r>
              <w:rPr>
                <w:rFonts w:eastAsia="Calibri"/>
              </w:rPr>
              <w:t>a.</w:t>
            </w:r>
            <w:r>
              <w:rPr>
                <w:rFonts w:eastAsia="Calibri"/>
              </w:rPr>
              <w:tab/>
              <w:t>the cash flows of Years 1–5 only</w:t>
            </w:r>
          </w:p>
          <w:p w14:paraId="7F31045C" w14:textId="77777777" w:rsidR="00546EEB" w:rsidRDefault="00000000">
            <w:pPr>
              <w:tabs>
                <w:tab w:val="left" w:pos="792"/>
              </w:tabs>
              <w:spacing w:after="14"/>
              <w:ind w:left="792" w:hanging="288"/>
            </w:pPr>
            <w:r>
              <w:rPr>
                <w:rFonts w:eastAsia="Calibri"/>
              </w:rPr>
              <w:t>b.</w:t>
            </w:r>
            <w:r>
              <w:rPr>
                <w:rFonts w:eastAsia="Calibri"/>
              </w:rPr>
              <w:tab/>
              <w:t>the value of all cash flows after the explicit forecast horizon</w:t>
            </w:r>
          </w:p>
          <w:p w14:paraId="168138D5" w14:textId="77777777" w:rsidR="00546EEB" w:rsidRDefault="00000000">
            <w:pPr>
              <w:tabs>
                <w:tab w:val="left" w:pos="792"/>
              </w:tabs>
              <w:spacing w:after="14"/>
              <w:ind w:left="792" w:hanging="288"/>
            </w:pPr>
            <w:r>
              <w:rPr>
                <w:rFonts w:eastAsia="Calibri"/>
              </w:rPr>
              <w:t>c.</w:t>
            </w:r>
            <w:r>
              <w:rPr>
                <w:rFonts w:eastAsia="Calibri"/>
              </w:rPr>
              <w:tab/>
              <w:t>the company’s book value</w:t>
            </w:r>
          </w:p>
          <w:p w14:paraId="766DFD25" w14:textId="77777777" w:rsidR="00546EEB" w:rsidRDefault="00000000">
            <w:pPr>
              <w:tabs>
                <w:tab w:val="left" w:pos="792"/>
              </w:tabs>
              <w:spacing w:after="14"/>
              <w:ind w:left="792" w:hanging="288"/>
            </w:pPr>
            <w:r>
              <w:rPr>
                <w:rFonts w:eastAsia="Calibri"/>
              </w:rPr>
              <w:t>d.</w:t>
            </w:r>
            <w:r>
              <w:rPr>
                <w:rFonts w:eastAsia="Calibri"/>
              </w:rPr>
              <w:tab/>
              <w:t>the dividends paid in Year 1</w:t>
            </w:r>
          </w:p>
          <w:p w14:paraId="7495765D" w14:textId="77777777" w:rsidR="00546EEB" w:rsidRDefault="00000000">
            <w:pPr>
              <w:tabs>
                <w:tab w:val="left" w:pos="432"/>
              </w:tabs>
              <w:spacing w:before="120" w:after="30"/>
              <w:ind w:left="432" w:hanging="288"/>
            </w:pPr>
            <w:r>
              <w:rPr>
                <w:rFonts w:eastAsia="Calibri"/>
              </w:rPr>
              <w:t>2.</w:t>
            </w:r>
            <w:r>
              <w:rPr>
                <w:rFonts w:eastAsia="Calibri"/>
              </w:rPr>
              <w:tab/>
              <w:t>A firm’s Year-6 FCF is expected to be $210M and to grow at 3% forever; the discount rate is 9%. The terminal value at the end of Year 5 is:</w:t>
            </w:r>
          </w:p>
          <w:p w14:paraId="24EACCCA" w14:textId="77777777" w:rsidR="00546EEB" w:rsidRDefault="00000000">
            <w:pPr>
              <w:tabs>
                <w:tab w:val="left" w:pos="792"/>
              </w:tabs>
              <w:spacing w:after="14"/>
              <w:ind w:left="792" w:hanging="288"/>
            </w:pPr>
            <w:r>
              <w:rPr>
                <w:rFonts w:eastAsia="Calibri"/>
              </w:rPr>
              <w:t>a.</w:t>
            </w:r>
            <w:r>
              <w:rPr>
                <w:rFonts w:eastAsia="Calibri"/>
              </w:rPr>
              <w:tab/>
              <w:t>$2,333M</w:t>
            </w:r>
          </w:p>
          <w:p w14:paraId="5EBF36B9" w14:textId="77777777" w:rsidR="00546EEB" w:rsidRDefault="00000000">
            <w:pPr>
              <w:tabs>
                <w:tab w:val="left" w:pos="792"/>
              </w:tabs>
              <w:spacing w:after="14"/>
              <w:ind w:left="792" w:hanging="288"/>
            </w:pPr>
            <w:r>
              <w:rPr>
                <w:rFonts w:eastAsia="Calibri"/>
              </w:rPr>
              <w:t>b.</w:t>
            </w:r>
            <w:r>
              <w:rPr>
                <w:rFonts w:eastAsia="Calibri"/>
              </w:rPr>
              <w:tab/>
              <w:t>$3,500M</w:t>
            </w:r>
          </w:p>
          <w:p w14:paraId="68A35323" w14:textId="77777777" w:rsidR="00546EEB" w:rsidRDefault="00000000">
            <w:pPr>
              <w:tabs>
                <w:tab w:val="left" w:pos="792"/>
              </w:tabs>
              <w:spacing w:after="14"/>
              <w:ind w:left="792" w:hanging="288"/>
            </w:pPr>
            <w:r>
              <w:rPr>
                <w:rFonts w:eastAsia="Calibri"/>
              </w:rPr>
              <w:t>c.</w:t>
            </w:r>
            <w:r>
              <w:rPr>
                <w:rFonts w:eastAsia="Calibri"/>
              </w:rPr>
              <w:tab/>
              <w:t>$23,333M</w:t>
            </w:r>
          </w:p>
          <w:p w14:paraId="5CB95030" w14:textId="77777777" w:rsidR="00546EEB" w:rsidRDefault="00000000">
            <w:pPr>
              <w:tabs>
                <w:tab w:val="left" w:pos="792"/>
              </w:tabs>
              <w:spacing w:after="14"/>
              <w:ind w:left="792" w:hanging="288"/>
            </w:pPr>
            <w:r>
              <w:rPr>
                <w:rFonts w:eastAsia="Calibri"/>
              </w:rPr>
              <w:t>d.</w:t>
            </w:r>
            <w:r>
              <w:rPr>
                <w:rFonts w:eastAsia="Calibri"/>
              </w:rPr>
              <w:tab/>
              <w:t>$700M</w:t>
            </w:r>
          </w:p>
          <w:p w14:paraId="4C461F8C" w14:textId="77777777" w:rsidR="00546EEB" w:rsidRDefault="00000000">
            <w:pPr>
              <w:tabs>
                <w:tab w:val="left" w:pos="432"/>
              </w:tabs>
              <w:spacing w:before="120" w:after="30"/>
              <w:ind w:left="432" w:hanging="288"/>
            </w:pPr>
            <w:r>
              <w:rPr>
                <w:rFonts w:eastAsia="Calibri"/>
              </w:rPr>
              <w:t>3.</w:t>
            </w:r>
            <w:r>
              <w:rPr>
                <w:rFonts w:eastAsia="Calibri"/>
              </w:rPr>
              <w:tab/>
              <w:t>Holding cash flows constant, narrowing the spread between r and g will cause the terminal value to:</w:t>
            </w:r>
          </w:p>
          <w:p w14:paraId="39351D18" w14:textId="77777777" w:rsidR="00546EEB" w:rsidRDefault="00000000">
            <w:pPr>
              <w:tabs>
                <w:tab w:val="left" w:pos="792"/>
              </w:tabs>
              <w:spacing w:after="14"/>
              <w:ind w:left="792" w:hanging="288"/>
            </w:pPr>
            <w:r>
              <w:rPr>
                <w:rFonts w:eastAsia="Calibri"/>
              </w:rPr>
              <w:t>a.</w:t>
            </w:r>
            <w:r>
              <w:rPr>
                <w:rFonts w:eastAsia="Calibri"/>
              </w:rPr>
              <w:tab/>
              <w:t>increase</w:t>
            </w:r>
          </w:p>
          <w:p w14:paraId="45A9F663" w14:textId="77777777" w:rsidR="00546EEB" w:rsidRDefault="00000000">
            <w:pPr>
              <w:tabs>
                <w:tab w:val="left" w:pos="792"/>
              </w:tabs>
              <w:spacing w:after="14"/>
              <w:ind w:left="792" w:hanging="288"/>
            </w:pPr>
            <w:r>
              <w:rPr>
                <w:rFonts w:eastAsia="Calibri"/>
              </w:rPr>
              <w:t>b.</w:t>
            </w:r>
            <w:r>
              <w:rPr>
                <w:rFonts w:eastAsia="Calibri"/>
              </w:rPr>
              <w:tab/>
              <w:t>decrease</w:t>
            </w:r>
          </w:p>
          <w:p w14:paraId="245E178C" w14:textId="77777777" w:rsidR="00546EEB" w:rsidRDefault="00000000">
            <w:pPr>
              <w:tabs>
                <w:tab w:val="left" w:pos="792"/>
              </w:tabs>
              <w:spacing w:after="14"/>
              <w:ind w:left="792" w:hanging="288"/>
            </w:pPr>
            <w:r>
              <w:rPr>
                <w:rFonts w:eastAsia="Calibri"/>
              </w:rPr>
              <w:t>c.</w:t>
            </w:r>
            <w:r>
              <w:rPr>
                <w:rFonts w:eastAsia="Calibri"/>
              </w:rPr>
              <w:tab/>
              <w:t>stay the same</w:t>
            </w:r>
          </w:p>
          <w:p w14:paraId="48BA18B2" w14:textId="77777777" w:rsidR="00546EEB" w:rsidRDefault="00000000">
            <w:pPr>
              <w:tabs>
                <w:tab w:val="left" w:pos="792"/>
              </w:tabs>
              <w:spacing w:after="14"/>
              <w:ind w:left="792" w:hanging="288"/>
            </w:pPr>
            <w:r>
              <w:rPr>
                <w:rFonts w:eastAsia="Calibri"/>
              </w:rPr>
              <w:t>d.</w:t>
            </w:r>
            <w:r>
              <w:rPr>
                <w:rFonts w:eastAsia="Calibri"/>
              </w:rPr>
              <w:tab/>
              <w:t>become zero</w:t>
            </w:r>
          </w:p>
          <w:p w14:paraId="61BDB262" w14:textId="77777777" w:rsidR="00D570A5" w:rsidRDefault="00D570A5">
            <w:pPr>
              <w:spacing w:before="120" w:after="20"/>
              <w:rPr>
                <w:rFonts w:eastAsia="Malgun Gothic"/>
                <w:color w:val="C00000"/>
                <w:lang w:eastAsia="ko-KR"/>
              </w:rPr>
            </w:pPr>
          </w:p>
          <w:p w14:paraId="26523F67" w14:textId="254F46C7" w:rsidR="00546EEB" w:rsidRDefault="00546EEB">
            <w:pPr>
              <w:spacing w:before="120" w:after="20"/>
            </w:pPr>
          </w:p>
        </w:tc>
      </w:tr>
    </w:tbl>
    <w:p w14:paraId="7718D3D8" w14:textId="77777777" w:rsidR="00A2606A" w:rsidRDefault="00A2606A" w:rsidP="00C91610"/>
    <w:p w14:paraId="0E83FE8E" w14:textId="77777777" w:rsidR="00A2606A" w:rsidRDefault="00A2606A">
      <w:pPr>
        <w:rPr>
          <w:rFonts w:eastAsia="Calibri"/>
          <w:b/>
          <w:bCs/>
          <w:color w:val="1F3864"/>
          <w:sz w:val="36"/>
          <w:szCs w:val="36"/>
        </w:rPr>
      </w:pPr>
      <w:r>
        <w:br w:type="page"/>
      </w:r>
    </w:p>
    <w:p w14:paraId="78C95570" w14:textId="74EF71D0" w:rsidR="00546EEB" w:rsidRDefault="00000000" w:rsidP="00C91610">
      <w:pPr>
        <w:pStyle w:val="Heading1"/>
      </w:pPr>
      <w:bookmarkStart w:id="3" w:name="_Toc235219224"/>
      <w:r>
        <w:lastRenderedPageBreak/>
        <w:t xml:space="preserve">Topic </w:t>
      </w:r>
      <w:r w:rsidR="000F11EA">
        <w:t>4</w:t>
      </w:r>
      <w:r>
        <w:t>:</w:t>
      </w:r>
      <w:r>
        <w:tab/>
        <w:t>The Price-Earnings (P/E) Ratio</w:t>
      </w:r>
      <w:bookmarkEnd w:id="3"/>
    </w:p>
    <w:p w14:paraId="5EDFB14E" w14:textId="77777777" w:rsidR="00546EEB" w:rsidRDefault="00000000">
      <w:pPr>
        <w:pStyle w:val="ListParagraph"/>
        <w:numPr>
          <w:ilvl w:val="0"/>
          <w:numId w:val="2"/>
        </w:numPr>
        <w:spacing w:after="40" w:line="256" w:lineRule="auto"/>
      </w:pPr>
      <w:r>
        <w:rPr>
          <w:rFonts w:eastAsia="Calibri"/>
        </w:rPr>
        <w:t xml:space="preserve">The </w:t>
      </w:r>
      <w:r>
        <w:rPr>
          <w:rFonts w:eastAsia="Calibri"/>
          <w:b/>
          <w:bCs/>
          <w:color w:val="C00000"/>
          <w:u w:val="single"/>
        </w:rPr>
        <w:t>P/E ratio</w:t>
      </w:r>
      <w:r>
        <w:rPr>
          <w:rFonts w:eastAsia="Calibri"/>
        </w:rPr>
        <w:t xml:space="preserve"> is the market’s most widely used valuation shorthand. It answers a simple question: how many dollars will investors pay today for one dollar of the company’s annual earnings?</w:t>
      </w:r>
    </w:p>
    <w:p w14:paraId="46A1F4D9" w14:textId="77777777" w:rsidR="00546EEB" w:rsidRPr="00D570A5" w:rsidRDefault="00000000">
      <w:pPr>
        <w:spacing w:before="70" w:after="90"/>
        <w:jc w:val="center"/>
        <w:rPr>
          <w:sz w:val="18"/>
          <w:szCs w:val="18"/>
        </w:rPr>
      </w:pPr>
      <m:oMathPara>
        <m:oMath>
          <m:r>
            <m:rPr>
              <m:nor/>
            </m:rPr>
            <w:rPr>
              <w:rFonts w:ascii="Cambria Math" w:eastAsia="Cambria Math" w:hAnsi="Cambria Math" w:cs="Cambria Math"/>
              <w:i/>
              <w:color w:val="000000"/>
              <w:sz w:val="21"/>
              <w:szCs w:val="21"/>
            </w:rPr>
            <m:t>P/E</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m:rPr>
                  <m:nor/>
                </m:rPr>
                <w:rPr>
                  <w:rFonts w:ascii="Cambria Math" w:eastAsia="Cambria Math" w:hAnsi="Cambria Math" w:cs="Cambria Math"/>
                  <w:i/>
                  <w:color w:val="000000"/>
                  <w:sz w:val="21"/>
                  <w:szCs w:val="21"/>
                </w:rPr>
                <m:t>Market Price per Share</m:t>
              </m:r>
            </m:num>
            <m:den>
              <m:r>
                <m:rPr>
                  <m:nor/>
                </m:rPr>
                <w:rPr>
                  <w:rFonts w:ascii="Cambria Math" w:eastAsia="Cambria Math" w:hAnsi="Cambria Math" w:cs="Cambria Math"/>
                  <w:i/>
                  <w:color w:val="000000"/>
                  <w:sz w:val="21"/>
                  <w:szCs w:val="21"/>
                </w:rPr>
                <m:t xml:space="preserve">Earnings per Share </m:t>
              </m:r>
              <m:d>
                <m:dPr>
                  <m:ctrlPr>
                    <w:rPr>
                      <w:rFonts w:ascii="Cambria Math" w:eastAsia="Cambria Math" w:hAnsi="Cambria Math" w:cs="Cambria Math"/>
                      <w:i/>
                      <w:color w:val="000000"/>
                      <w:sz w:val="21"/>
                      <w:szCs w:val="21"/>
                    </w:rPr>
                  </m:ctrlPr>
                </m:dPr>
                <m:e>
                  <m:r>
                    <m:rPr>
                      <m:nor/>
                    </m:rPr>
                    <w:rPr>
                      <w:rFonts w:ascii="Cambria Math" w:eastAsia="Cambria Math" w:hAnsi="Cambria Math" w:cs="Cambria Math"/>
                      <w:i/>
                      <w:color w:val="000000"/>
                      <w:sz w:val="21"/>
                      <w:szCs w:val="21"/>
                    </w:rPr>
                    <m:t>EPS</m:t>
                  </m:r>
                </m:e>
              </m:d>
            </m:den>
          </m:f>
        </m:oMath>
      </m:oMathPara>
    </w:p>
    <w:p w14:paraId="474184E9" w14:textId="321BE5F6" w:rsidR="00546EEB" w:rsidRDefault="00000000" w:rsidP="006F5A47">
      <w:pPr>
        <w:pStyle w:val="ListParagraph"/>
        <w:numPr>
          <w:ilvl w:val="1"/>
          <w:numId w:val="2"/>
        </w:numPr>
        <w:spacing w:after="40" w:line="256" w:lineRule="auto"/>
      </w:pPr>
      <w:r w:rsidRPr="006F5A47">
        <w:rPr>
          <w:rFonts w:eastAsia="Calibri"/>
        </w:rPr>
        <w:t>Read it</w:t>
      </w:r>
      <w:r w:rsidR="006F5A47" w:rsidRPr="006F5A47">
        <w:rPr>
          <w:rFonts w:eastAsia="Calibri"/>
        </w:rPr>
        <w:t xml:space="preserve"> </w:t>
      </w:r>
      <w:r w:rsidR="006F5A47">
        <w:rPr>
          <w:rFonts w:eastAsia="Calibri"/>
        </w:rPr>
        <w:t xml:space="preserve">a </w:t>
      </w:r>
      <w:r w:rsidRPr="006F5A47">
        <w:rPr>
          <w:rFonts w:eastAsia="Calibri"/>
          <w:b/>
          <w:bCs/>
        </w:rPr>
        <w:t>s a multiple</w:t>
      </w:r>
      <w:r w:rsidRPr="006F5A47">
        <w:rPr>
          <w:rFonts w:eastAsia="Calibri"/>
        </w:rPr>
        <w:t xml:space="preserve"> — a P/E of 15 means investors pay $15 for every $1 of current earnings.</w:t>
      </w:r>
    </w:p>
    <w:p w14:paraId="5CF53B8F" w14:textId="77777777" w:rsidR="00546EEB" w:rsidRDefault="00000000">
      <w:pPr>
        <w:tabs>
          <w:tab w:val="left" w:pos="360"/>
        </w:tabs>
        <w:spacing w:before="160" w:after="80"/>
      </w:pPr>
      <w:r>
        <w:rPr>
          <w:rFonts w:eastAsia="Calibri"/>
          <w:color w:val="1F3864"/>
          <w:sz w:val="27"/>
          <w:szCs w:val="27"/>
        </w:rPr>
        <w:t>A.</w:t>
      </w:r>
      <w:r>
        <w:rPr>
          <w:rFonts w:eastAsia="Calibri"/>
          <w:color w:val="1F3864"/>
          <w:sz w:val="27"/>
          <w:szCs w:val="27"/>
        </w:rPr>
        <w:tab/>
        <w:t>A Quick Worked Example</w:t>
      </w:r>
    </w:p>
    <w:p w14:paraId="46FAB49D" w14:textId="77777777" w:rsidR="00546EEB" w:rsidRDefault="00000000">
      <w:pPr>
        <w:pStyle w:val="ListParagraph"/>
        <w:numPr>
          <w:ilvl w:val="0"/>
          <w:numId w:val="2"/>
        </w:numPr>
        <w:spacing w:after="40" w:line="256" w:lineRule="auto"/>
      </w:pPr>
      <w:r>
        <w:rPr>
          <w:rFonts w:eastAsia="Calibri"/>
        </w:rPr>
        <w:t>Company A earns EPS of $4.00 and trades at $60.00 per share:</w:t>
      </w:r>
    </w:p>
    <w:tbl>
      <w:tblPr>
        <w:tblW w:w="729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250"/>
      </w:tblGrid>
      <w:tr w:rsidR="00546EEB" w14:paraId="58B987AA" w14:textId="77777777" w:rsidTr="00D570A5">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1AEFD8CF" w14:textId="77777777" w:rsidR="00546EEB" w:rsidRDefault="00000000" w:rsidP="00D570A5">
            <w:r>
              <w:rPr>
                <w:rFonts w:eastAsia="Calibri"/>
                <w:color w:val="000000"/>
              </w:rPr>
              <w:t>Market price per share</w:t>
            </w:r>
          </w:p>
        </w:tc>
        <w:tc>
          <w:tcPr>
            <w:tcW w:w="225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7E5D34A5" w14:textId="77777777" w:rsidR="00546EEB" w:rsidRDefault="00000000" w:rsidP="00D570A5">
            <w:pPr>
              <w:jc w:val="right"/>
            </w:pPr>
            <w:r>
              <w:rPr>
                <w:rFonts w:eastAsia="Calibri"/>
                <w:color w:val="C00000"/>
              </w:rPr>
              <w:t>$60.00</w:t>
            </w:r>
          </w:p>
        </w:tc>
      </w:tr>
      <w:tr w:rsidR="00546EEB" w14:paraId="3AB1A762" w14:textId="77777777" w:rsidTr="00D570A5">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609669FC" w14:textId="77777777" w:rsidR="00546EEB" w:rsidRDefault="00000000" w:rsidP="00D570A5">
            <w:r>
              <w:rPr>
                <w:rFonts w:eastAsia="Calibri"/>
                <w:color w:val="000000"/>
              </w:rPr>
              <w:t>Earnings per share (EPS)</w:t>
            </w:r>
          </w:p>
        </w:tc>
        <w:tc>
          <w:tcPr>
            <w:tcW w:w="22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6CD19A" w14:textId="77777777" w:rsidR="00546EEB" w:rsidRDefault="00000000" w:rsidP="00D570A5">
            <w:pPr>
              <w:jc w:val="right"/>
            </w:pPr>
            <w:r>
              <w:rPr>
                <w:rFonts w:eastAsia="Calibri"/>
                <w:color w:val="C00000"/>
              </w:rPr>
              <w:t>$  4.00</w:t>
            </w:r>
          </w:p>
        </w:tc>
      </w:tr>
      <w:tr w:rsidR="00546EEB" w14:paraId="57BF9E6D" w14:textId="77777777" w:rsidTr="00D570A5">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4C6F3B69" w14:textId="77777777" w:rsidR="00546EEB" w:rsidRDefault="00000000" w:rsidP="00D570A5">
            <w:r>
              <w:rPr>
                <w:rFonts w:eastAsia="Calibri"/>
                <w:b/>
                <w:bCs/>
                <w:color w:val="1F3864"/>
              </w:rPr>
              <w:t>P/E ratio</w:t>
            </w:r>
          </w:p>
        </w:tc>
        <w:tc>
          <w:tcPr>
            <w:tcW w:w="225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6246F8B2" w14:textId="77777777" w:rsidR="00546EEB" w:rsidRDefault="00000000" w:rsidP="00D570A5">
            <w:pPr>
              <w:jc w:val="right"/>
            </w:pPr>
            <w:r>
              <w:rPr>
                <w:rFonts w:eastAsia="Calibri"/>
                <w:b/>
                <w:bCs/>
                <w:color w:val="C00000"/>
              </w:rPr>
              <w:t>15.0×</w:t>
            </w:r>
          </w:p>
        </w:tc>
      </w:tr>
    </w:tbl>
    <w:p w14:paraId="0C45D346" w14:textId="77777777" w:rsidR="00546EEB" w:rsidRDefault="00000000">
      <w:pPr>
        <w:pStyle w:val="ListParagraph"/>
        <w:numPr>
          <w:ilvl w:val="0"/>
          <w:numId w:val="2"/>
        </w:numPr>
        <w:spacing w:after="40" w:line="256" w:lineRule="auto"/>
      </w:pPr>
      <w:r>
        <w:rPr>
          <w:rFonts w:eastAsia="Calibri"/>
        </w:rPr>
        <w:t xml:space="preserve">Run it in reverse to </w:t>
      </w:r>
      <w:r>
        <w:rPr>
          <w:rFonts w:eastAsia="Calibri"/>
          <w:i/>
          <w:iCs/>
        </w:rPr>
        <w:t>value</w:t>
      </w:r>
      <w:r>
        <w:rPr>
          <w:rFonts w:eastAsia="Calibri"/>
        </w:rPr>
        <w:t xml:space="preserve"> a share: if comparable firms trade at 18× and Company A is expected to earn $4.50 next year, a quick comp-based value is 18 × $4.50 = </w:t>
      </w:r>
      <w:r>
        <w:rPr>
          <w:rFonts w:eastAsia="Calibri"/>
          <w:b/>
          <w:bCs/>
        </w:rPr>
        <w:t>$81.00</w:t>
      </w:r>
      <w:r>
        <w:rPr>
          <w:rFonts w:eastAsia="Calibri"/>
        </w:rPr>
        <w:t xml:space="preserve"> per share.</w:t>
      </w:r>
    </w:p>
    <w:p w14:paraId="6DC6CBEA"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What Drives the P/E?</w:t>
      </w:r>
    </w:p>
    <w:p w14:paraId="7E89C5A4" w14:textId="77777777" w:rsidR="00546EEB" w:rsidRDefault="00000000">
      <w:pPr>
        <w:pStyle w:val="ListParagraph"/>
        <w:numPr>
          <w:ilvl w:val="0"/>
          <w:numId w:val="2"/>
        </w:numPr>
        <w:spacing w:after="40" w:line="256" w:lineRule="auto"/>
      </w:pPr>
      <w:r>
        <w:rPr>
          <w:rFonts w:eastAsia="Calibri"/>
        </w:rPr>
        <w:t>Three forces push a P/E up or down — the same three that drive all value:</w:t>
      </w:r>
    </w:p>
    <w:p w14:paraId="06702BAD" w14:textId="77777777" w:rsidR="00546EEB" w:rsidRDefault="00000000">
      <w:pPr>
        <w:pStyle w:val="ListParagraph"/>
        <w:numPr>
          <w:ilvl w:val="1"/>
          <w:numId w:val="2"/>
        </w:numPr>
        <w:spacing w:after="40" w:line="256" w:lineRule="auto"/>
      </w:pPr>
      <w:r>
        <w:rPr>
          <w:rFonts w:eastAsia="Calibri"/>
          <w:b/>
          <w:bCs/>
        </w:rPr>
        <w:t>Growth</w:t>
      </w:r>
      <w:r>
        <w:rPr>
          <w:rFonts w:eastAsia="Calibri"/>
        </w:rPr>
        <w:t xml:space="preserve"> — faster expected earnings growth → higher P/E.</w:t>
      </w:r>
    </w:p>
    <w:p w14:paraId="18485282" w14:textId="77777777" w:rsidR="00546EEB" w:rsidRDefault="00000000">
      <w:pPr>
        <w:pStyle w:val="ListParagraph"/>
        <w:numPr>
          <w:ilvl w:val="1"/>
          <w:numId w:val="2"/>
        </w:numPr>
        <w:spacing w:after="40" w:line="256" w:lineRule="auto"/>
      </w:pPr>
      <w:r>
        <w:rPr>
          <w:rFonts w:eastAsia="Calibri"/>
          <w:b/>
          <w:bCs/>
        </w:rPr>
        <w:t>Risk</w:t>
      </w:r>
      <w:r>
        <w:rPr>
          <w:rFonts w:eastAsia="Calibri"/>
        </w:rPr>
        <w:t xml:space="preserve"> — higher risk (a higher discount rate) → lower P/E.</w:t>
      </w:r>
    </w:p>
    <w:p w14:paraId="299203B8" w14:textId="77777777" w:rsidR="00546EEB" w:rsidRDefault="00000000">
      <w:pPr>
        <w:pStyle w:val="ListParagraph"/>
        <w:numPr>
          <w:ilvl w:val="1"/>
          <w:numId w:val="2"/>
        </w:numPr>
        <w:spacing w:after="40" w:line="256" w:lineRule="auto"/>
      </w:pPr>
      <w:r>
        <w:rPr>
          <w:rFonts w:eastAsia="Calibri"/>
          <w:b/>
          <w:bCs/>
        </w:rPr>
        <w:t>Earnings quality</w:t>
      </w:r>
      <w:r>
        <w:rPr>
          <w:rFonts w:eastAsia="Calibri"/>
        </w:rPr>
        <w:t xml:space="preserve"> — more durable, cash-backed earnings → higher P/E (Topic 6).</w:t>
      </w:r>
    </w:p>
    <w:p w14:paraId="61A5700D" w14:textId="77777777" w:rsidR="00546EEB" w:rsidRDefault="00000000">
      <w:pPr>
        <w:pStyle w:val="ListParagraph"/>
        <w:numPr>
          <w:ilvl w:val="0"/>
          <w:numId w:val="2"/>
        </w:numPr>
        <w:spacing w:after="40" w:line="256" w:lineRule="auto"/>
      </w:pPr>
      <w:r>
        <w:rPr>
          <w:rFonts w:eastAsia="Calibri"/>
        </w:rPr>
        <w:t>This is why a stable utility may trade at 12× while a fast-growing software firm trades at 40×. The market is not irrational; it is paying for growth.</w:t>
      </w:r>
    </w:p>
    <w:p w14:paraId="22C88422" w14:textId="77777777" w:rsidR="00211410" w:rsidRDefault="00000000">
      <w:pPr>
        <w:tabs>
          <w:tab w:val="left" w:pos="360"/>
        </w:tabs>
        <w:spacing w:before="160" w:after="80"/>
      </w:pPr>
      <w:r>
        <w:rPr>
          <w:rFonts w:eastAsia="Calibri"/>
          <w:color w:val="1F3864"/>
          <w:sz w:val="27"/>
          <w:szCs w:val="27"/>
        </w:rPr>
        <w:t>C.</w:t>
      </w:r>
      <w:r>
        <w:rPr>
          <w:rFonts w:eastAsia="Calibri"/>
          <w:color w:val="1F3864"/>
          <w:sz w:val="27"/>
          <w:szCs w:val="27"/>
        </w:rPr>
        <w:tab/>
        <w:t>The Algebra Behind the Three Forces</w:t>
      </w:r>
    </w:p>
    <w:p w14:paraId="0181C4ED" w14:textId="040C91F6" w:rsidR="00211410" w:rsidRDefault="00000000">
      <w:pPr>
        <w:pStyle w:val="ListParagraph"/>
        <w:numPr>
          <w:ilvl w:val="0"/>
          <w:numId w:val="2"/>
        </w:numPr>
        <w:spacing w:after="40" w:line="256" w:lineRule="auto"/>
      </w:pPr>
      <w:r>
        <w:rPr>
          <w:rFonts w:eastAsia="Calibri"/>
        </w:rPr>
        <w:t xml:space="preserve">The three forces are not a list to </w:t>
      </w:r>
      <w:r w:rsidR="001F3E9D">
        <w:rPr>
          <w:rFonts w:eastAsia="Calibri"/>
        </w:rPr>
        <w:t>memorize</w:t>
      </w:r>
      <w:r>
        <w:rPr>
          <w:rFonts w:eastAsia="Calibri"/>
        </w:rPr>
        <w:t xml:space="preserve">. They all fall out of a single equation, and the starting point is the perpetuity from Topic </w:t>
      </w:r>
      <w:r w:rsidR="000835AD">
        <w:rPr>
          <w:rFonts w:eastAsia="Calibri"/>
        </w:rPr>
        <w:t>1</w:t>
      </w:r>
      <w:r>
        <w:rPr>
          <w:rFonts w:eastAsia="Calibri"/>
        </w:rPr>
        <w:t>.</w:t>
      </w:r>
    </w:p>
    <w:p w14:paraId="6A6C70E4" w14:textId="5390644C" w:rsidR="00211410" w:rsidRDefault="00000000">
      <w:pPr>
        <w:pStyle w:val="ListParagraph"/>
        <w:numPr>
          <w:ilvl w:val="0"/>
          <w:numId w:val="2"/>
        </w:numPr>
        <w:spacing w:after="40" w:line="256" w:lineRule="auto"/>
      </w:pPr>
      <w:r>
        <w:rPr>
          <w:rFonts w:eastAsia="Calibri"/>
          <w:b/>
          <w:bCs/>
        </w:rPr>
        <w:t xml:space="preserve">Step 1 — no growth. </w:t>
      </w:r>
      <w:r>
        <w:rPr>
          <w:rFonts w:eastAsia="Calibri"/>
        </w:rPr>
        <w:t>A firm that pays out all of its earnings and never grows is a perpetuity</w:t>
      </w:r>
      <w:r w:rsidR="00B21843">
        <w:rPr>
          <w:rFonts w:eastAsia="Malgun Gothic" w:hint="eastAsia"/>
          <w:lang w:eastAsia="ko-KR"/>
        </w:rPr>
        <w:t xml:space="preserve"> </w:t>
      </w:r>
      <m:oMath>
        <m:r>
          <w:rPr>
            <w:rStyle w:val="FootnoteReference"/>
            <w:rFonts w:ascii="Cambria Math" w:eastAsia="Cambria Math" w:hAnsi="Cambria Math" w:cs="Cambria Math"/>
            <w:i/>
            <w:color w:val="000000"/>
            <w:sz w:val="21"/>
            <w:szCs w:val="21"/>
          </w:rPr>
          <w:footnoteReference w:id="2"/>
        </m:r>
      </m:oMath>
      <w:r>
        <w:rPr>
          <w:rFonts w:eastAsia="Calibri"/>
        </w:rPr>
        <w:t>:</w:t>
      </w:r>
    </w:p>
    <w:p w14:paraId="1D7E2632" w14:textId="4A826631" w:rsidR="001674E4" w:rsidRDefault="00000000" w:rsidP="001674E4">
      <w:pPr>
        <w:spacing w:before="70" w:after="90"/>
        <w:jc w:val="center"/>
      </w:pPr>
      <m:oMathPara>
        <m:oMath>
          <m:r>
            <w:rPr>
              <w:rFonts w:ascii="Cambria Math" w:eastAsia="Cambria Math" w:hAnsi="Cambria Math" w:cs="Cambria Math"/>
              <w:color w:val="000000"/>
              <w:sz w:val="21"/>
              <w:szCs w:val="21"/>
            </w:rPr>
            <m:t>P=</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E</m:t>
              </m:r>
            </m:num>
            <m:den>
              <m:r>
                <w:rPr>
                  <w:rFonts w:ascii="Cambria Math" w:eastAsia="Cambria Math" w:hAnsi="Cambria Math" w:cs="Cambria Math"/>
                  <w:color w:val="000000"/>
                  <w:sz w:val="21"/>
                  <w:szCs w:val="21"/>
                </w:rPr>
                <m:t>r</m:t>
              </m:r>
            </m:den>
          </m:f>
          <m:r>
            <w:rPr>
              <w:rFonts w:ascii="Cambria Math" w:eastAsia="Cambria Math" w:hAnsi="Cambria Math" w:cs="Cambria Math"/>
              <w:color w:val="000000"/>
              <w:sz w:val="21"/>
              <w:szCs w:val="21"/>
            </w:rPr>
            <m:t xml:space="preserve">    so  </m:t>
          </m:r>
          <m:r>
            <m:rPr>
              <m:nor/>
            </m:rPr>
            <w:rPr>
              <w:rFonts w:ascii="Cambria Math" w:eastAsia="Cambria Math" w:hAnsi="Cambria Math" w:cs="Cambria Math"/>
              <w:i/>
              <w:color w:val="000000"/>
              <w:sz w:val="21"/>
              <w:szCs w:val="21"/>
            </w:rPr>
            <m:t>P/E</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1</m:t>
              </m:r>
            </m:num>
            <m:den>
              <m:r>
                <w:rPr>
                  <w:rFonts w:ascii="Cambria Math" w:eastAsia="Cambria Math" w:hAnsi="Cambria Math" w:cs="Cambria Math"/>
                  <w:color w:val="000000"/>
                  <w:sz w:val="21"/>
                  <w:szCs w:val="21"/>
                </w:rPr>
                <m:t>r</m:t>
              </m:r>
            </m:den>
          </m:f>
        </m:oMath>
      </m:oMathPara>
    </w:p>
    <w:p w14:paraId="2794F3FF" w14:textId="77777777" w:rsidR="00211410" w:rsidRDefault="00000000">
      <w:pPr>
        <w:pStyle w:val="ListParagraph"/>
        <w:numPr>
          <w:ilvl w:val="1"/>
          <w:numId w:val="2"/>
        </w:numPr>
        <w:spacing w:after="40" w:line="256" w:lineRule="auto"/>
      </w:pPr>
      <w:r>
        <w:rPr>
          <w:rFonts w:eastAsia="Calibri"/>
        </w:rPr>
        <w:t xml:space="preserve">This is the </w:t>
      </w:r>
      <w:r>
        <w:rPr>
          <w:rFonts w:eastAsia="Calibri"/>
          <w:b/>
          <w:bCs/>
        </w:rPr>
        <w:t>risk</w:t>
      </w:r>
      <w:r>
        <w:rPr>
          <w:rFonts w:eastAsia="Calibri"/>
        </w:rPr>
        <w:t xml:space="preserve"> force standing alone: the P/E is simply the reciprocal of the discount rate. A higher r means a lower multiple, with nothing else in the picture.</w:t>
      </w:r>
    </w:p>
    <w:p w14:paraId="18613815" w14:textId="77777777" w:rsidR="00211410" w:rsidRDefault="00000000">
      <w:pPr>
        <w:pStyle w:val="ListParagraph"/>
        <w:numPr>
          <w:ilvl w:val="0"/>
          <w:numId w:val="2"/>
        </w:numPr>
        <w:spacing w:after="40" w:line="256" w:lineRule="auto"/>
      </w:pPr>
      <w:r>
        <w:rPr>
          <w:rFonts w:eastAsia="Calibri"/>
          <w:b/>
          <w:bCs/>
        </w:rPr>
        <w:t xml:space="preserve">Step 2 — let the firm reinvest. </w:t>
      </w:r>
      <w:r>
        <w:rPr>
          <w:rFonts w:eastAsia="Calibri"/>
        </w:rPr>
        <w:t>Write the payout ratio as b, so the dividend is D₁ = b × E₁. The Gordon growth model then gives:</w:t>
      </w:r>
    </w:p>
    <w:p w14:paraId="64B14B2E" w14:textId="77777777" w:rsidR="00211410" w:rsidRPr="00D570A5" w:rsidRDefault="00000000">
      <w:pPr>
        <w:spacing w:before="70" w:after="90"/>
        <w:jc w:val="center"/>
        <w:rPr>
          <w:sz w:val="18"/>
          <w:szCs w:val="18"/>
        </w:rPr>
      </w:pPr>
      <m:oMath>
        <m:r>
          <w:rPr>
            <w:rFonts w:ascii="Cambria Math" w:eastAsia="Cambria Math" w:hAnsi="Cambria Math" w:cs="Cambria Math"/>
            <w:color w:val="000000"/>
            <w:sz w:val="21"/>
            <w:szCs w:val="21"/>
          </w:rPr>
          <m:t>P=</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b×</m:t>
            </m:r>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E</m:t>
                </m:r>
              </m:e>
              <m:sub>
                <m:r>
                  <w:rPr>
                    <w:rFonts w:ascii="Cambria Math" w:eastAsia="Cambria Math" w:hAnsi="Cambria Math" w:cs="Cambria Math"/>
                    <w:color w:val="000000"/>
                    <w:sz w:val="21"/>
                    <w:szCs w:val="21"/>
                  </w:rPr>
                  <m:t>1</m:t>
                </m:r>
              </m:sub>
            </m:sSub>
          </m:num>
          <m:den>
            <m:r>
              <w:rPr>
                <w:rFonts w:ascii="Cambria Math" w:eastAsia="Cambria Math" w:hAnsi="Cambria Math" w:cs="Cambria Math"/>
                <w:color w:val="000000"/>
                <w:sz w:val="21"/>
                <w:szCs w:val="21"/>
              </w:rPr>
              <m:t>r-g</m:t>
            </m:r>
          </m:den>
        </m:f>
      </m:oMath>
      <w:r>
        <w:rPr>
          <w:rFonts w:ascii="Cambria Math" w:eastAsia="Cambria Math" w:hAnsi="Cambria Math" w:cs="Cambria Math"/>
          <w:i/>
          <w:iCs/>
          <w:color w:val="000000"/>
          <w:sz w:val="25"/>
          <w:szCs w:val="25"/>
        </w:rPr>
        <w:t xml:space="preserve">        so        </w:t>
      </w:r>
      <m:oMath>
        <m:r>
          <m:rPr>
            <m:nor/>
          </m:rPr>
          <w:rPr>
            <w:rFonts w:ascii="Cambria Math" w:eastAsia="Cambria Math" w:hAnsi="Cambria Math" w:cs="Cambria Math"/>
            <w:i/>
            <w:color w:val="000000"/>
            <w:sz w:val="21"/>
            <w:szCs w:val="21"/>
          </w:rPr>
          <m:t>P/E</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b</m:t>
            </m:r>
          </m:num>
          <m:den>
            <m:r>
              <w:rPr>
                <w:rFonts w:ascii="Cambria Math" w:eastAsia="Cambria Math" w:hAnsi="Cambria Math" w:cs="Cambria Math"/>
                <w:color w:val="000000"/>
                <w:sz w:val="21"/>
                <w:szCs w:val="21"/>
              </w:rPr>
              <m:t>r-g</m:t>
            </m:r>
          </m:den>
        </m:f>
      </m:oMath>
    </w:p>
    <w:p w14:paraId="009DFD7B" w14:textId="77777777" w:rsidR="00211410" w:rsidRDefault="00000000">
      <w:pPr>
        <w:pStyle w:val="ListParagraph"/>
        <w:numPr>
          <w:ilvl w:val="1"/>
          <w:numId w:val="2"/>
        </w:numPr>
        <w:spacing w:after="40" w:line="256" w:lineRule="auto"/>
      </w:pPr>
      <w:r>
        <w:rPr>
          <w:rFonts w:eastAsia="Calibri"/>
        </w:rPr>
        <w:lastRenderedPageBreak/>
        <w:t xml:space="preserve">Step 1 is the special case where g = 0 and b = 1. </w:t>
      </w:r>
      <w:r>
        <w:rPr>
          <w:rFonts w:eastAsia="Calibri"/>
          <w:b/>
          <w:bCs/>
        </w:rPr>
        <w:t>Growth</w:t>
      </w:r>
      <w:r>
        <w:rPr>
          <w:rFonts w:eastAsia="Calibri"/>
        </w:rPr>
        <w:t xml:space="preserve"> enters by eating into the denominator — it does not act on its own, it acts on the spread between r and g.</w:t>
      </w:r>
    </w:p>
    <w:p w14:paraId="4811FC06" w14:textId="1BF2A565" w:rsidR="00211410" w:rsidRDefault="00000000">
      <w:pPr>
        <w:pStyle w:val="ListParagraph"/>
        <w:numPr>
          <w:ilvl w:val="0"/>
          <w:numId w:val="2"/>
        </w:numPr>
        <w:spacing w:after="40" w:line="256" w:lineRule="auto"/>
      </w:pPr>
      <w:r>
        <w:rPr>
          <w:rFonts w:eastAsia="Calibri"/>
          <w:b/>
          <w:bCs/>
        </w:rPr>
        <w:t xml:space="preserve">Step 3 — let earnings quality matter. </w:t>
      </w:r>
      <w:r>
        <w:rPr>
          <w:rFonts w:eastAsia="Calibri"/>
        </w:rPr>
        <w:t xml:space="preserve">If only a fraction q of reported earnings is durable and cash-backed, the market </w:t>
      </w:r>
      <w:r w:rsidR="001F3E9D">
        <w:rPr>
          <w:rFonts w:eastAsia="Calibri"/>
        </w:rPr>
        <w:t>capitalizes</w:t>
      </w:r>
      <w:r>
        <w:rPr>
          <w:rFonts w:eastAsia="Calibri"/>
        </w:rPr>
        <w:t xml:space="preserve"> q × E rather than E:</w:t>
      </w:r>
    </w:p>
    <w:p w14:paraId="5150A4B1" w14:textId="6C6B8C1D" w:rsidR="00995442" w:rsidRPr="00D570A5" w:rsidRDefault="00000000" w:rsidP="00995442">
      <w:pPr>
        <w:spacing w:before="70" w:after="90"/>
        <w:jc w:val="center"/>
        <w:rPr>
          <w:sz w:val="18"/>
          <w:szCs w:val="18"/>
        </w:rPr>
      </w:pPr>
      <m:oMath>
        <m:r>
          <m:rPr>
            <m:nor/>
          </m:rPr>
          <w:rPr>
            <w:rFonts w:ascii="Cambria Math" w:eastAsia="Cambria Math" w:hAnsi="Cambria Math" w:cs="Cambria Math"/>
            <w:i/>
            <w:color w:val="000000"/>
            <w:sz w:val="21"/>
            <w:szCs w:val="21"/>
          </w:rPr>
          <m:t>P</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b×</m:t>
            </m:r>
            <m:sSub>
              <m:sSubPr>
                <m:ctrlPr>
                  <w:rPr>
                    <w:rFonts w:ascii="Cambria Math" w:eastAsia="Cambria Math" w:hAnsi="Cambria Math" w:cs="Cambria Math"/>
                    <w:i/>
                    <w:color w:val="000000"/>
                    <w:sz w:val="21"/>
                    <w:szCs w:val="21"/>
                  </w:rPr>
                </m:ctrlPr>
              </m:sSubPr>
              <m:e>
                <m:r>
                  <w:rPr>
                    <w:rFonts w:ascii="Cambria Math" w:eastAsia="Cambria Math" w:hAnsi="Cambria Math" w:cs="Cambria Math"/>
                    <w:color w:val="000000"/>
                    <w:sz w:val="21"/>
                    <w:szCs w:val="21"/>
                  </w:rPr>
                  <m:t>E</m:t>
                </m:r>
              </m:e>
              <m:sub>
                <m:r>
                  <w:rPr>
                    <w:rFonts w:ascii="Cambria Math" w:eastAsia="Cambria Math" w:hAnsi="Cambria Math" w:cs="Cambria Math"/>
                    <w:color w:val="000000"/>
                    <w:sz w:val="21"/>
                    <w:szCs w:val="21"/>
                  </w:rPr>
                  <m:t>1</m:t>
                </m:r>
              </m:sub>
            </m:sSub>
            <m:r>
              <w:rPr>
                <w:rFonts w:ascii="Cambria Math" w:eastAsia="Cambria Math" w:hAnsi="Cambria Math" w:cs="Cambria Math"/>
                <w:color w:val="000000"/>
                <w:sz w:val="21"/>
                <w:szCs w:val="21"/>
              </w:rPr>
              <m:t>×q</m:t>
            </m:r>
          </m:num>
          <m:den>
            <m:r>
              <w:rPr>
                <w:rFonts w:ascii="Cambria Math" w:eastAsia="Cambria Math" w:hAnsi="Cambria Math" w:cs="Cambria Math"/>
                <w:color w:val="000000"/>
                <w:sz w:val="21"/>
                <w:szCs w:val="21"/>
              </w:rPr>
              <m:t>r-g</m:t>
            </m:r>
          </m:den>
        </m:f>
      </m:oMath>
      <w:r w:rsidR="00995442">
        <w:rPr>
          <w:rFonts w:hint="eastAsia"/>
          <w:color w:val="000000"/>
          <w:sz w:val="21"/>
          <w:szCs w:val="21"/>
          <w:lang w:eastAsia="ko-KR"/>
        </w:rPr>
        <w:t xml:space="preserve"> </w:t>
      </w:r>
      <w:r w:rsidR="00995442">
        <w:rPr>
          <w:color w:val="000000"/>
          <w:sz w:val="21"/>
          <w:szCs w:val="21"/>
          <w:lang w:eastAsia="ko-KR"/>
        </w:rPr>
        <w:tab/>
      </w:r>
      <w:r w:rsidR="00995442">
        <w:rPr>
          <w:rFonts w:hint="eastAsia"/>
          <w:color w:val="000000"/>
          <w:sz w:val="21"/>
          <w:szCs w:val="21"/>
          <w:lang w:eastAsia="ko-KR"/>
        </w:rPr>
        <w:t xml:space="preserve">So          </w:t>
      </w:r>
      <m:oMath>
        <m:r>
          <m:rPr>
            <m:nor/>
          </m:rPr>
          <w:rPr>
            <w:rFonts w:ascii="Cambria Math" w:eastAsia="Cambria Math" w:hAnsi="Cambria Math" w:cs="Cambria Math"/>
            <w:i/>
            <w:color w:val="000000"/>
            <w:sz w:val="21"/>
            <w:szCs w:val="21"/>
          </w:rPr>
          <m:t>P/E</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w:rPr>
                <w:rFonts w:ascii="Cambria Math" w:eastAsia="Cambria Math" w:hAnsi="Cambria Math" w:cs="Cambria Math"/>
                <w:color w:val="000000"/>
                <w:sz w:val="21"/>
                <w:szCs w:val="21"/>
              </w:rPr>
              <m:t>b×q</m:t>
            </m:r>
          </m:num>
          <m:den>
            <m:r>
              <w:rPr>
                <w:rFonts w:ascii="Cambria Math" w:eastAsia="Cambria Math" w:hAnsi="Cambria Math" w:cs="Cambria Math"/>
                <w:color w:val="000000"/>
                <w:sz w:val="21"/>
                <w:szCs w:val="21"/>
              </w:rPr>
              <m:t>r-g</m:t>
            </m:r>
          </m:den>
        </m:f>
      </m:oMath>
    </w:p>
    <w:p w14:paraId="74FE4FB0" w14:textId="1DCB05C0" w:rsidR="00211410" w:rsidRPr="00D570A5" w:rsidRDefault="00211410">
      <w:pPr>
        <w:spacing w:before="70" w:after="90"/>
        <w:jc w:val="center"/>
        <w:rPr>
          <w:sz w:val="18"/>
          <w:szCs w:val="18"/>
          <w:lang w:eastAsia="ko-KR"/>
        </w:rPr>
      </w:pPr>
    </w:p>
    <w:p w14:paraId="5B44129D" w14:textId="77777777" w:rsidR="00211410" w:rsidRDefault="00000000">
      <w:pPr>
        <w:pStyle w:val="ListParagraph"/>
        <w:numPr>
          <w:ilvl w:val="1"/>
          <w:numId w:val="2"/>
        </w:numPr>
        <w:spacing w:after="40" w:line="256" w:lineRule="auto"/>
      </w:pPr>
      <w:r>
        <w:rPr>
          <w:rFonts w:eastAsia="Calibri"/>
          <w:b/>
          <w:bCs/>
        </w:rPr>
        <w:t>Earnings quality</w:t>
      </w:r>
      <w:r>
        <w:rPr>
          <w:rFonts w:eastAsia="Calibri"/>
        </w:rPr>
        <w:t xml:space="preserve"> sits in the numerator. Two firms with identical growth and risk will trade at different multiples if one firm’s earnings are accrual-heavy (Topic 6).</w:t>
      </w:r>
    </w:p>
    <w:p w14:paraId="2928E5AF" w14:textId="77777777" w:rsidR="00211410" w:rsidRDefault="00000000">
      <w:pPr>
        <w:pStyle w:val="ListParagraph"/>
        <w:numPr>
          <w:ilvl w:val="0"/>
          <w:numId w:val="2"/>
        </w:numPr>
        <w:spacing w:after="40" w:line="256" w:lineRule="auto"/>
      </w:pPr>
      <w:r>
        <w:rPr>
          <w:rFonts w:eastAsia="Calibri"/>
          <w:b/>
          <w:bCs/>
        </w:rPr>
        <w:t xml:space="preserve">Checking the 12× and the 40×. </w:t>
      </w:r>
      <w:r>
        <w:rPr>
          <w:rFonts w:eastAsia="Calibri"/>
        </w:rPr>
        <w:t>The two firms from section B are not on the same curve:</w:t>
      </w:r>
    </w:p>
    <w:p w14:paraId="210020E6" w14:textId="77777777" w:rsidR="00211410" w:rsidRDefault="00000000">
      <w:pPr>
        <w:pStyle w:val="ListParagraph"/>
        <w:numPr>
          <w:ilvl w:val="1"/>
          <w:numId w:val="2"/>
        </w:numPr>
        <w:spacing w:after="40" w:line="256" w:lineRule="auto"/>
      </w:pPr>
      <w:r>
        <w:rPr>
          <w:rFonts w:eastAsia="Calibri"/>
        </w:rPr>
        <w:t xml:space="preserve">Utility: b = 0.6, q = 1, r = 7%, g = 2%  →  </w:t>
      </w:r>
      <m:oMath>
        <m:r>
          <m:rPr>
            <m:nor/>
          </m:rPr>
          <w:rPr>
            <w:rFonts w:ascii="Cambria Math" w:eastAsia="Cambria Math" w:hAnsi="Cambria Math" w:cs="Cambria Math"/>
          </w:rPr>
          <m:t>P/E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0.6</m:t>
            </m:r>
          </m:num>
          <m:den>
            <m:r>
              <w:rPr>
                <w:rFonts w:ascii="Cambria Math" w:eastAsia="Cambria Math" w:hAnsi="Cambria Math" w:cs="Cambria Math"/>
              </w:rPr>
              <m:t>0.05</m:t>
            </m:r>
          </m:den>
        </m:f>
      </m:oMath>
      <w:r>
        <w:rPr>
          <w:rFonts w:eastAsia="Calibri"/>
        </w:rPr>
        <w:t xml:space="preserve"> = </w:t>
      </w:r>
      <w:r>
        <w:rPr>
          <w:rFonts w:eastAsia="Calibri"/>
          <w:b/>
          <w:bCs/>
        </w:rPr>
        <w:t>12.0×</w:t>
      </w:r>
    </w:p>
    <w:p w14:paraId="1CFAE57C" w14:textId="77777777" w:rsidR="00211410" w:rsidRDefault="00000000">
      <w:pPr>
        <w:pStyle w:val="ListParagraph"/>
        <w:numPr>
          <w:ilvl w:val="1"/>
          <w:numId w:val="2"/>
        </w:numPr>
        <w:spacing w:after="40" w:line="256" w:lineRule="auto"/>
      </w:pPr>
      <w:r>
        <w:rPr>
          <w:rFonts w:eastAsia="Calibri"/>
        </w:rPr>
        <w:t xml:space="preserve">Software: b = 0.8, q = 1, r = 10%, g = 8%  →  </w:t>
      </w:r>
      <m:oMath>
        <m:r>
          <m:rPr>
            <m:nor/>
          </m:rPr>
          <w:rPr>
            <w:rFonts w:ascii="Cambria Math" w:eastAsia="Cambria Math" w:hAnsi="Cambria Math" w:cs="Cambria Math"/>
          </w:rPr>
          <m:t>P/E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0.8</m:t>
            </m:r>
          </m:num>
          <m:den>
            <m:r>
              <w:rPr>
                <w:rFonts w:ascii="Cambria Math" w:eastAsia="Cambria Math" w:hAnsi="Cambria Math" w:cs="Cambria Math"/>
              </w:rPr>
              <m:t>0.02</m:t>
            </m:r>
          </m:den>
        </m:f>
      </m:oMath>
      <w:r>
        <w:rPr>
          <w:rFonts w:eastAsia="Calibri"/>
        </w:rPr>
        <w:t xml:space="preserve"> = </w:t>
      </w:r>
      <w:r>
        <w:rPr>
          <w:rFonts w:eastAsia="Calibri"/>
          <w:b/>
          <w:bCs/>
        </w:rPr>
        <w:t>40.0×</w:t>
      </w:r>
    </w:p>
    <w:p w14:paraId="604275ED" w14:textId="77777777" w:rsidR="00211410" w:rsidRDefault="00000000">
      <w:pPr>
        <w:pStyle w:val="ListParagraph"/>
        <w:numPr>
          <w:ilvl w:val="1"/>
          <w:numId w:val="2"/>
        </w:numPr>
        <w:spacing w:after="40" w:line="256" w:lineRule="auto"/>
      </w:pPr>
      <w:r>
        <w:rPr>
          <w:rFonts w:eastAsia="Calibri"/>
        </w:rPr>
        <w:t xml:space="preserve">The software firm carries the </w:t>
      </w:r>
      <w:r>
        <w:rPr>
          <w:rFonts w:eastAsia="Calibri"/>
          <w:b/>
          <w:bCs/>
        </w:rPr>
        <w:t>higher</w:t>
      </w:r>
      <w:r>
        <w:rPr>
          <w:rFonts w:eastAsia="Calibri"/>
        </w:rPr>
        <w:t xml:space="preserve"> discount rate and still earns the higher multiple: narrowing the spread from 5% to 2% overwhelms the extra risk. That is the precise sense in which the market is “paying for growth.”</w:t>
      </w:r>
    </w:p>
    <w:p w14:paraId="70B2E18E" w14:textId="77777777" w:rsidR="00211410" w:rsidRDefault="00000000">
      <w:pPr>
        <w:pStyle w:val="ListParagraph"/>
        <w:numPr>
          <w:ilvl w:val="0"/>
          <w:numId w:val="2"/>
        </w:numPr>
        <w:spacing w:after="40" w:line="256" w:lineRule="auto"/>
      </w:pPr>
      <w:r>
        <w:rPr>
          <w:rFonts w:eastAsia="Calibri"/>
          <w:b/>
          <w:bCs/>
        </w:rPr>
        <w:t xml:space="preserve">Why a high multiple is a fragile multiple. </w:t>
      </w:r>
      <w:r>
        <w:rPr>
          <w:rFonts w:eastAsia="Calibri"/>
        </w:rPr>
        <w:t>The spread is squared in the derivative, so a high P/E is a narrow spread — and a narrow spread is easily disturbed:</w:t>
      </w:r>
    </w:p>
    <w:tbl>
      <w:tblPr>
        <w:tblW w:w="8000" w:type="dxa"/>
        <w:tblInd w:w="720" w:type="dxa"/>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3300"/>
        <w:gridCol w:w="1500"/>
        <w:gridCol w:w="1500"/>
        <w:gridCol w:w="1700"/>
      </w:tblGrid>
      <w:tr w:rsidR="00211410" w14:paraId="6F140F1E" w14:textId="77777777" w:rsidTr="00D570A5">
        <w:tc>
          <w:tcPr>
            <w:tcW w:w="3300" w:type="dxa"/>
            <w:tcMar>
              <w:top w:w="40" w:type="dxa"/>
              <w:left w:w="60" w:type="dxa"/>
              <w:bottom w:w="40" w:type="dxa"/>
              <w:right w:w="80" w:type="dxa"/>
            </w:tcMar>
          </w:tcPr>
          <w:p w14:paraId="19840A56" w14:textId="77777777" w:rsidR="00211410" w:rsidRDefault="00211410"/>
        </w:tc>
        <w:tc>
          <w:tcPr>
            <w:tcW w:w="1500" w:type="dxa"/>
            <w:tcBorders>
              <w:top w:val="single" w:sz="12" w:space="0" w:color="auto"/>
              <w:bottom w:val="single" w:sz="8" w:space="0" w:color="auto"/>
            </w:tcBorders>
            <w:tcMar>
              <w:top w:w="40" w:type="dxa"/>
              <w:left w:w="60" w:type="dxa"/>
              <w:bottom w:w="40" w:type="dxa"/>
              <w:right w:w="80" w:type="dxa"/>
            </w:tcMar>
          </w:tcPr>
          <w:p w14:paraId="798D418E" w14:textId="77777777" w:rsidR="00211410" w:rsidRDefault="00000000">
            <w:pPr>
              <w:jc w:val="center"/>
            </w:pPr>
            <w:r>
              <w:rPr>
                <w:rFonts w:eastAsia="Calibri"/>
                <w:b/>
                <w:bCs/>
              </w:rPr>
              <w:t>g − 0.5 pp</w:t>
            </w:r>
          </w:p>
        </w:tc>
        <w:tc>
          <w:tcPr>
            <w:tcW w:w="1500" w:type="dxa"/>
            <w:tcBorders>
              <w:top w:val="single" w:sz="12" w:space="0" w:color="auto"/>
              <w:bottom w:val="single" w:sz="8" w:space="0" w:color="auto"/>
            </w:tcBorders>
            <w:tcMar>
              <w:top w:w="40" w:type="dxa"/>
              <w:left w:w="60" w:type="dxa"/>
              <w:bottom w:w="40" w:type="dxa"/>
              <w:right w:w="80" w:type="dxa"/>
            </w:tcMar>
          </w:tcPr>
          <w:p w14:paraId="3B18ED41" w14:textId="77777777" w:rsidR="00211410" w:rsidRDefault="00000000">
            <w:pPr>
              <w:jc w:val="center"/>
            </w:pPr>
            <w:r>
              <w:rPr>
                <w:rFonts w:eastAsia="Calibri"/>
                <w:b/>
                <w:bCs/>
              </w:rPr>
              <w:t>Base case</w:t>
            </w:r>
          </w:p>
        </w:tc>
        <w:tc>
          <w:tcPr>
            <w:tcW w:w="1700" w:type="dxa"/>
            <w:tcBorders>
              <w:top w:val="single" w:sz="12" w:space="0" w:color="auto"/>
              <w:bottom w:val="single" w:sz="8" w:space="0" w:color="auto"/>
            </w:tcBorders>
            <w:tcMar>
              <w:top w:w="40" w:type="dxa"/>
              <w:left w:w="60" w:type="dxa"/>
              <w:bottom w:w="40" w:type="dxa"/>
              <w:right w:w="80" w:type="dxa"/>
            </w:tcMar>
          </w:tcPr>
          <w:p w14:paraId="4652BC71" w14:textId="77777777" w:rsidR="00211410" w:rsidRDefault="00000000">
            <w:pPr>
              <w:jc w:val="center"/>
            </w:pPr>
            <w:r>
              <w:rPr>
                <w:rFonts w:eastAsia="Calibri"/>
                <w:b/>
                <w:bCs/>
              </w:rPr>
              <w:t>g + 0.5 pp</w:t>
            </w:r>
          </w:p>
        </w:tc>
      </w:tr>
      <w:tr w:rsidR="00211410" w14:paraId="34135662" w14:textId="77777777" w:rsidTr="00D570A5">
        <w:tc>
          <w:tcPr>
            <w:tcW w:w="3300" w:type="dxa"/>
            <w:tcMar>
              <w:top w:w="40" w:type="dxa"/>
              <w:left w:w="60" w:type="dxa"/>
              <w:bottom w:w="40" w:type="dxa"/>
              <w:right w:w="80" w:type="dxa"/>
            </w:tcMar>
          </w:tcPr>
          <w:p w14:paraId="6F94EA75" w14:textId="77777777" w:rsidR="00211410" w:rsidRDefault="00000000">
            <w:r>
              <w:rPr>
                <w:rFonts w:eastAsia="Calibri"/>
              </w:rPr>
              <w:t>Utility  (r = 7%, g = 2%)</w:t>
            </w:r>
          </w:p>
        </w:tc>
        <w:tc>
          <w:tcPr>
            <w:tcW w:w="1500" w:type="dxa"/>
            <w:tcBorders>
              <w:top w:val="single" w:sz="8" w:space="0" w:color="auto"/>
            </w:tcBorders>
            <w:tcMar>
              <w:top w:w="40" w:type="dxa"/>
              <w:left w:w="60" w:type="dxa"/>
              <w:bottom w:w="40" w:type="dxa"/>
              <w:right w:w="80" w:type="dxa"/>
            </w:tcMar>
          </w:tcPr>
          <w:p w14:paraId="3EF36E62" w14:textId="77777777" w:rsidR="00211410" w:rsidRDefault="00000000">
            <w:pPr>
              <w:jc w:val="center"/>
            </w:pPr>
            <w:r>
              <w:rPr>
                <w:rFonts w:eastAsia="Calibri"/>
              </w:rPr>
              <w:t>10.9×</w:t>
            </w:r>
          </w:p>
        </w:tc>
        <w:tc>
          <w:tcPr>
            <w:tcW w:w="1500" w:type="dxa"/>
            <w:tcBorders>
              <w:top w:val="single" w:sz="8" w:space="0" w:color="auto"/>
            </w:tcBorders>
            <w:tcMar>
              <w:top w:w="40" w:type="dxa"/>
              <w:left w:w="60" w:type="dxa"/>
              <w:bottom w:w="40" w:type="dxa"/>
              <w:right w:w="80" w:type="dxa"/>
            </w:tcMar>
          </w:tcPr>
          <w:p w14:paraId="1BDE8463" w14:textId="77777777" w:rsidR="00211410" w:rsidRDefault="00000000">
            <w:pPr>
              <w:jc w:val="center"/>
            </w:pPr>
            <w:r>
              <w:rPr>
                <w:rFonts w:eastAsia="Calibri"/>
                <w:b/>
                <w:bCs/>
              </w:rPr>
              <w:t>12.0×</w:t>
            </w:r>
          </w:p>
        </w:tc>
        <w:tc>
          <w:tcPr>
            <w:tcW w:w="1700" w:type="dxa"/>
            <w:tcBorders>
              <w:top w:val="single" w:sz="8" w:space="0" w:color="auto"/>
            </w:tcBorders>
            <w:tcMar>
              <w:top w:w="40" w:type="dxa"/>
              <w:left w:w="60" w:type="dxa"/>
              <w:bottom w:w="40" w:type="dxa"/>
              <w:right w:w="80" w:type="dxa"/>
            </w:tcMar>
          </w:tcPr>
          <w:p w14:paraId="42899B30" w14:textId="77777777" w:rsidR="00211410" w:rsidRDefault="00000000">
            <w:pPr>
              <w:jc w:val="center"/>
            </w:pPr>
            <w:r>
              <w:rPr>
                <w:rFonts w:eastAsia="Calibri"/>
              </w:rPr>
              <w:t>13.3×   (+11%)</w:t>
            </w:r>
          </w:p>
        </w:tc>
      </w:tr>
      <w:tr w:rsidR="00211410" w14:paraId="780F1599" w14:textId="77777777" w:rsidTr="00D570A5">
        <w:tc>
          <w:tcPr>
            <w:tcW w:w="3300" w:type="dxa"/>
            <w:tcMar>
              <w:top w:w="40" w:type="dxa"/>
              <w:left w:w="60" w:type="dxa"/>
              <w:bottom w:w="40" w:type="dxa"/>
              <w:right w:w="80" w:type="dxa"/>
            </w:tcMar>
          </w:tcPr>
          <w:p w14:paraId="64E5AE30" w14:textId="77777777" w:rsidR="00211410" w:rsidRDefault="00000000">
            <w:r>
              <w:rPr>
                <w:rFonts w:eastAsia="Calibri"/>
              </w:rPr>
              <w:t>Software  (r = 10%, g = 8%)</w:t>
            </w:r>
          </w:p>
        </w:tc>
        <w:tc>
          <w:tcPr>
            <w:tcW w:w="1500" w:type="dxa"/>
            <w:tcMar>
              <w:top w:w="40" w:type="dxa"/>
              <w:left w:w="60" w:type="dxa"/>
              <w:bottom w:w="40" w:type="dxa"/>
              <w:right w:w="80" w:type="dxa"/>
            </w:tcMar>
          </w:tcPr>
          <w:p w14:paraId="5A58574E" w14:textId="77777777" w:rsidR="00211410" w:rsidRDefault="00000000">
            <w:pPr>
              <w:jc w:val="center"/>
            </w:pPr>
            <w:r>
              <w:rPr>
                <w:rFonts w:eastAsia="Calibri"/>
              </w:rPr>
              <w:t>32.0×</w:t>
            </w:r>
          </w:p>
        </w:tc>
        <w:tc>
          <w:tcPr>
            <w:tcW w:w="1500" w:type="dxa"/>
            <w:tcMar>
              <w:top w:w="40" w:type="dxa"/>
              <w:left w:w="60" w:type="dxa"/>
              <w:bottom w:w="40" w:type="dxa"/>
              <w:right w:w="80" w:type="dxa"/>
            </w:tcMar>
          </w:tcPr>
          <w:p w14:paraId="0A1A2C72" w14:textId="77777777" w:rsidR="00211410" w:rsidRDefault="00000000">
            <w:pPr>
              <w:jc w:val="center"/>
            </w:pPr>
            <w:r>
              <w:rPr>
                <w:rFonts w:eastAsia="Calibri"/>
                <w:b/>
                <w:bCs/>
              </w:rPr>
              <w:t>40.0×</w:t>
            </w:r>
          </w:p>
        </w:tc>
        <w:tc>
          <w:tcPr>
            <w:tcW w:w="1700" w:type="dxa"/>
            <w:tcMar>
              <w:top w:w="40" w:type="dxa"/>
              <w:left w:w="60" w:type="dxa"/>
              <w:bottom w:w="40" w:type="dxa"/>
              <w:right w:w="80" w:type="dxa"/>
            </w:tcMar>
          </w:tcPr>
          <w:p w14:paraId="2927D47A" w14:textId="77777777" w:rsidR="00211410" w:rsidRDefault="00000000">
            <w:pPr>
              <w:jc w:val="center"/>
            </w:pPr>
            <w:r>
              <w:rPr>
                <w:rFonts w:eastAsia="Calibri"/>
              </w:rPr>
              <w:t>53.3×   (+33%)</w:t>
            </w:r>
          </w:p>
        </w:tc>
      </w:tr>
    </w:tbl>
    <w:p w14:paraId="75BC8125" w14:textId="77777777" w:rsidR="00211410" w:rsidRDefault="00211410">
      <w:pPr>
        <w:spacing w:after="60"/>
      </w:pPr>
    </w:p>
    <w:p w14:paraId="5BB35E4D" w14:textId="77777777" w:rsidR="00211410" w:rsidRDefault="00000000">
      <w:pPr>
        <w:pStyle w:val="ListParagraph"/>
        <w:numPr>
          <w:ilvl w:val="1"/>
          <w:numId w:val="2"/>
        </w:numPr>
        <w:spacing w:after="40" w:line="256" w:lineRule="auto"/>
      </w:pPr>
      <w:r>
        <w:rPr>
          <w:rFonts w:eastAsia="Calibri"/>
        </w:rPr>
        <w:t>The same half-point of growth moves the software multiple three times as far. A 40× multiple is not by itself a claim that the firm is expensive; it is a warning that small revisions to the assumptions will re-rate it sharply. This is why growth stocks fall so hard on an earnings miss.</w:t>
      </w:r>
    </w:p>
    <w:p w14:paraId="7462A34F" w14:textId="77777777" w:rsidR="00546EEB" w:rsidRDefault="00000000">
      <w:pPr>
        <w:tabs>
          <w:tab w:val="left" w:pos="360"/>
        </w:tabs>
        <w:spacing w:before="160" w:after="80"/>
      </w:pPr>
      <w:r>
        <w:rPr>
          <w:rFonts w:eastAsia="Calibri"/>
          <w:color w:val="1F3864"/>
          <w:sz w:val="27"/>
          <w:szCs w:val="27"/>
        </w:rPr>
        <w:t>D.</w:t>
      </w:r>
      <w:r>
        <w:rPr>
          <w:rFonts w:eastAsia="Calibri"/>
          <w:color w:val="1F3864"/>
          <w:sz w:val="27"/>
          <w:szCs w:val="27"/>
        </w:rPr>
        <w:tab/>
        <w:t>Trailing vs. Forward, and the PEG Refinement</w:t>
      </w:r>
    </w:p>
    <w:p w14:paraId="07201061" w14:textId="77777777" w:rsidR="00546EEB" w:rsidRDefault="00000000">
      <w:pPr>
        <w:pStyle w:val="ListParagraph"/>
        <w:numPr>
          <w:ilvl w:val="0"/>
          <w:numId w:val="2"/>
        </w:numPr>
        <w:spacing w:after="40" w:line="256" w:lineRule="auto"/>
      </w:pPr>
      <w:r>
        <w:rPr>
          <w:rFonts w:eastAsia="Calibri"/>
          <w:b/>
          <w:bCs/>
        </w:rPr>
        <w:t>Trailing P/E</w:t>
      </w:r>
      <w:r>
        <w:rPr>
          <w:rFonts w:eastAsia="Calibri"/>
        </w:rPr>
        <w:t xml:space="preserve"> uses the last twelve months of actual earnings; </w:t>
      </w:r>
      <w:r>
        <w:rPr>
          <w:rFonts w:eastAsia="Calibri"/>
          <w:b/>
          <w:bCs/>
        </w:rPr>
        <w:t>forward P/E</w:t>
      </w:r>
      <w:r>
        <w:rPr>
          <w:rFonts w:eastAsia="Calibri"/>
        </w:rPr>
        <w:t xml:space="preserve"> uses next year’s expected earnings.</w:t>
      </w:r>
    </w:p>
    <w:p w14:paraId="74210452" w14:textId="77777777" w:rsidR="00546EEB" w:rsidRDefault="00000000">
      <w:pPr>
        <w:pStyle w:val="ListParagraph"/>
        <w:numPr>
          <w:ilvl w:val="0"/>
          <w:numId w:val="2"/>
        </w:numPr>
        <w:spacing w:after="40" w:line="256" w:lineRule="auto"/>
      </w:pPr>
      <w:r>
        <w:rPr>
          <w:rFonts w:eastAsia="Calibri"/>
        </w:rPr>
        <w:t xml:space="preserve">The </w:t>
      </w:r>
      <w:r>
        <w:rPr>
          <w:rFonts w:eastAsia="Calibri"/>
          <w:b/>
          <w:bCs/>
        </w:rPr>
        <w:t>PEG ratio</w:t>
      </w:r>
      <w:r>
        <w:rPr>
          <w:rFonts w:eastAsia="Calibri"/>
        </w:rPr>
        <w:t xml:space="preserve"> adjusts the P/E for growth:</w:t>
      </w:r>
    </w:p>
    <w:p w14:paraId="31AFA8A3" w14:textId="77777777" w:rsidR="00546EEB" w:rsidRPr="00942515" w:rsidRDefault="00000000">
      <w:pPr>
        <w:spacing w:before="70" w:after="90"/>
        <w:jc w:val="center"/>
        <w:rPr>
          <w:sz w:val="20"/>
          <w:szCs w:val="20"/>
        </w:rPr>
      </w:pPr>
      <m:oMathPara>
        <m:oMath>
          <m:r>
            <m:rPr>
              <m:nor/>
            </m:rPr>
            <w:rPr>
              <w:rFonts w:ascii="Cambria Math" w:eastAsia="Cambria Math" w:hAnsi="Cambria Math" w:cs="Cambria Math"/>
              <w:i/>
              <w:color w:val="000000"/>
            </w:rPr>
            <m:t>PEG</m:t>
          </m:r>
          <m:r>
            <w:rPr>
              <w:rFonts w:ascii="Cambria Math" w:eastAsia="Cambria Math" w:hAnsi="Cambria Math" w:cs="Cambria Math"/>
              <w:color w:val="000000"/>
            </w:rPr>
            <m:t>=</m:t>
          </m:r>
          <m:f>
            <m:fPr>
              <m:ctrlPr>
                <w:rPr>
                  <w:rFonts w:ascii="Cambria Math" w:eastAsia="Cambria Math" w:hAnsi="Cambria Math" w:cs="Cambria Math"/>
                  <w:i/>
                  <w:color w:val="000000"/>
                </w:rPr>
              </m:ctrlPr>
            </m:fPr>
            <m:num>
              <m:r>
                <m:rPr>
                  <m:nor/>
                </m:rPr>
                <w:rPr>
                  <w:rFonts w:ascii="Cambria Math" w:eastAsia="Cambria Math" w:hAnsi="Cambria Math" w:cs="Cambria Math"/>
                  <w:i/>
                  <w:color w:val="000000"/>
                </w:rPr>
                <m:t>P/E</m:t>
              </m:r>
            </m:num>
            <m:den>
              <m:r>
                <m:rPr>
                  <m:nor/>
                </m:rPr>
                <w:rPr>
                  <w:rFonts w:ascii="Cambria Math" w:eastAsia="Cambria Math" w:hAnsi="Cambria Math" w:cs="Cambria Math"/>
                  <w:i/>
                  <w:color w:val="000000"/>
                </w:rPr>
                <m:t xml:space="preserve">Earnings Growth Rate </m:t>
              </m:r>
              <m:d>
                <m:dPr>
                  <m:ctrlPr>
                    <w:rPr>
                      <w:rFonts w:ascii="Cambria Math" w:eastAsia="Cambria Math" w:hAnsi="Cambria Math" w:cs="Cambria Math"/>
                      <w:i/>
                      <w:color w:val="000000"/>
                    </w:rPr>
                  </m:ctrlPr>
                </m:dPr>
                <m:e>
                  <m:r>
                    <m:rPr>
                      <m:nor/>
                    </m:rPr>
                    <w:rPr>
                      <w:rFonts w:ascii="Cambria Math" w:eastAsia="Cambria Math" w:hAnsi="Cambria Math" w:cs="Cambria Math"/>
                      <w:i/>
                      <w:color w:val="000000"/>
                    </w:rPr>
                    <m:t>in %</m:t>
                  </m:r>
                </m:e>
              </m:d>
            </m:den>
          </m:f>
        </m:oMath>
      </m:oMathPara>
    </w:p>
    <w:p w14:paraId="3AE54FF4" w14:textId="77777777" w:rsidR="00546EEB" w:rsidRDefault="00000000">
      <w:pPr>
        <w:pStyle w:val="ListParagraph"/>
        <w:numPr>
          <w:ilvl w:val="0"/>
          <w:numId w:val="2"/>
        </w:numPr>
        <w:spacing w:after="40" w:line="256" w:lineRule="auto"/>
      </w:pPr>
      <w:r>
        <w:rPr>
          <w:rFonts w:eastAsia="Calibri"/>
        </w:rPr>
        <w:t>A PEG near 1.0 is often viewed as “reasonably priced.” A firm at 30× growing 30% (PEG = 1.0) may be cheaper than a firm at 15× growing 5% (PEG = 3.0).</w:t>
      </w:r>
    </w:p>
    <w:p w14:paraId="0A391C36" w14:textId="77777777" w:rsidR="00546EEB" w:rsidRDefault="00546EEB">
      <w:pPr>
        <w:spacing w:after="60"/>
      </w:pPr>
    </w:p>
    <w:tbl>
      <w:tblPr>
        <w:tblW w:w="854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260"/>
        <w:gridCol w:w="1350"/>
        <w:gridCol w:w="1350"/>
        <w:gridCol w:w="1440"/>
        <w:gridCol w:w="1260"/>
      </w:tblGrid>
      <w:tr w:rsidR="00546EEB" w14:paraId="46EB9DC2" w14:textId="77777777" w:rsidTr="00D570A5">
        <w:trPr>
          <w:tblHeader/>
        </w:trPr>
        <w:tc>
          <w:tcPr>
            <w:tcW w:w="1885"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4BFBEB8E" w14:textId="77777777" w:rsidR="00546EEB" w:rsidRDefault="00000000">
            <w:r>
              <w:rPr>
                <w:rFonts w:eastAsia="Calibri"/>
                <w:b/>
                <w:bCs/>
                <w:color w:val="1F3864"/>
              </w:rPr>
              <w:t>Company</w:t>
            </w:r>
          </w:p>
        </w:tc>
        <w:tc>
          <w:tcPr>
            <w:tcW w:w="126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1A88794F" w14:textId="77777777" w:rsidR="00546EEB" w:rsidRDefault="00000000">
            <w:pPr>
              <w:jc w:val="right"/>
            </w:pPr>
            <w:r>
              <w:rPr>
                <w:rFonts w:eastAsia="Calibri"/>
                <w:b/>
                <w:bCs/>
                <w:color w:val="1F3864"/>
              </w:rPr>
              <w:t>Price</w:t>
            </w:r>
          </w:p>
        </w:tc>
        <w:tc>
          <w:tcPr>
            <w:tcW w:w="135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00A2938F" w14:textId="77777777" w:rsidR="00546EEB" w:rsidRDefault="00000000">
            <w:pPr>
              <w:jc w:val="right"/>
            </w:pPr>
            <w:r>
              <w:rPr>
                <w:rFonts w:eastAsia="Calibri"/>
                <w:b/>
                <w:bCs/>
                <w:color w:val="1F3864"/>
              </w:rPr>
              <w:t>EPS</w:t>
            </w:r>
          </w:p>
        </w:tc>
        <w:tc>
          <w:tcPr>
            <w:tcW w:w="135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78038FD7" w14:textId="77777777" w:rsidR="00546EEB" w:rsidRDefault="00000000">
            <w:pPr>
              <w:jc w:val="right"/>
            </w:pPr>
            <w:r>
              <w:rPr>
                <w:rFonts w:eastAsia="Calibri"/>
                <w:b/>
                <w:bCs/>
                <w:color w:val="1F3864"/>
              </w:rPr>
              <w:t>P/E</w:t>
            </w:r>
          </w:p>
        </w:tc>
        <w:tc>
          <w:tcPr>
            <w:tcW w:w="144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3BB22278" w14:textId="77777777" w:rsidR="00546EEB" w:rsidRDefault="00000000">
            <w:pPr>
              <w:jc w:val="right"/>
            </w:pPr>
            <w:r>
              <w:rPr>
                <w:rFonts w:eastAsia="Calibri"/>
                <w:b/>
                <w:bCs/>
                <w:color w:val="1F3864"/>
              </w:rPr>
              <w:t>Growth</w:t>
            </w:r>
          </w:p>
        </w:tc>
        <w:tc>
          <w:tcPr>
            <w:tcW w:w="126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3BE1223F" w14:textId="77777777" w:rsidR="00546EEB" w:rsidRDefault="00000000">
            <w:pPr>
              <w:jc w:val="right"/>
            </w:pPr>
            <w:r>
              <w:rPr>
                <w:rFonts w:eastAsia="Calibri"/>
                <w:b/>
                <w:bCs/>
                <w:color w:val="1F3864"/>
              </w:rPr>
              <w:t>PEG</w:t>
            </w:r>
          </w:p>
        </w:tc>
      </w:tr>
      <w:tr w:rsidR="00546EEB" w14:paraId="48B49518" w14:textId="77777777" w:rsidTr="00D570A5">
        <w:tc>
          <w:tcPr>
            <w:tcW w:w="1885"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80FF145" w14:textId="77777777" w:rsidR="00546EEB" w:rsidRDefault="00000000">
            <w:r>
              <w:rPr>
                <w:rFonts w:eastAsia="Calibri"/>
              </w:rPr>
              <w:t>Utility Co.</w:t>
            </w:r>
          </w:p>
        </w:tc>
        <w:tc>
          <w:tcPr>
            <w:tcW w:w="12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6A7BD14" w14:textId="77777777" w:rsidR="00546EEB" w:rsidRDefault="00000000">
            <w:pPr>
              <w:jc w:val="right"/>
            </w:pPr>
            <w:r>
              <w:rPr>
                <w:rFonts w:eastAsia="Calibri"/>
              </w:rPr>
              <w:t>$36</w:t>
            </w:r>
          </w:p>
        </w:tc>
        <w:tc>
          <w:tcPr>
            <w:tcW w:w="135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C0DA061" w14:textId="77777777" w:rsidR="00546EEB" w:rsidRDefault="00000000">
            <w:pPr>
              <w:jc w:val="right"/>
            </w:pPr>
            <w:r>
              <w:rPr>
                <w:rFonts w:eastAsia="Calibri"/>
              </w:rPr>
              <w:t>$3.00</w:t>
            </w:r>
          </w:p>
        </w:tc>
        <w:tc>
          <w:tcPr>
            <w:tcW w:w="135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1CE634F" w14:textId="77777777" w:rsidR="00546EEB" w:rsidRDefault="00000000">
            <w:pPr>
              <w:jc w:val="right"/>
            </w:pPr>
            <w:r>
              <w:rPr>
                <w:rFonts w:eastAsia="Calibri"/>
              </w:rPr>
              <w:t>12.0×</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5C49EC5" w14:textId="77777777" w:rsidR="00546EEB" w:rsidRDefault="00000000">
            <w:pPr>
              <w:jc w:val="right"/>
            </w:pPr>
            <w:r>
              <w:rPr>
                <w:rFonts w:eastAsia="Calibri"/>
              </w:rPr>
              <w:t>4%</w:t>
            </w:r>
          </w:p>
        </w:tc>
        <w:tc>
          <w:tcPr>
            <w:tcW w:w="12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30BD9F0" w14:textId="77777777" w:rsidR="00546EEB" w:rsidRDefault="00000000">
            <w:pPr>
              <w:jc w:val="right"/>
            </w:pPr>
            <w:r>
              <w:rPr>
                <w:rFonts w:eastAsia="Calibri"/>
              </w:rPr>
              <w:t>3.0</w:t>
            </w:r>
          </w:p>
        </w:tc>
      </w:tr>
      <w:tr w:rsidR="00546EEB" w14:paraId="753FECC3" w14:textId="77777777" w:rsidTr="00D570A5">
        <w:tc>
          <w:tcPr>
            <w:tcW w:w="1885"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52C88971" w14:textId="77777777" w:rsidR="00546EEB" w:rsidRDefault="00000000">
            <w:r>
              <w:rPr>
                <w:rFonts w:eastAsia="Calibri"/>
              </w:rPr>
              <w:t>Consumer Co.</w:t>
            </w:r>
          </w:p>
        </w:tc>
        <w:tc>
          <w:tcPr>
            <w:tcW w:w="1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724D9814" w14:textId="77777777" w:rsidR="00546EEB" w:rsidRDefault="00000000">
            <w:pPr>
              <w:jc w:val="right"/>
            </w:pPr>
            <w:r>
              <w:rPr>
                <w:rFonts w:eastAsia="Calibri"/>
              </w:rPr>
              <w:t>$80</w:t>
            </w:r>
          </w:p>
        </w:tc>
        <w:tc>
          <w:tcPr>
            <w:tcW w:w="135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25D023EA" w14:textId="77777777" w:rsidR="00546EEB" w:rsidRDefault="00000000">
            <w:pPr>
              <w:jc w:val="right"/>
            </w:pPr>
            <w:r>
              <w:rPr>
                <w:rFonts w:eastAsia="Calibri"/>
              </w:rPr>
              <w:t>$4.00</w:t>
            </w:r>
          </w:p>
        </w:tc>
        <w:tc>
          <w:tcPr>
            <w:tcW w:w="135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3CFE8A2C" w14:textId="77777777" w:rsidR="00546EEB" w:rsidRDefault="00000000">
            <w:pPr>
              <w:jc w:val="right"/>
            </w:pPr>
            <w:r>
              <w:rPr>
                <w:rFonts w:eastAsia="Calibri"/>
              </w:rPr>
              <w:t>20.0×</w:t>
            </w:r>
          </w:p>
        </w:tc>
        <w:tc>
          <w:tcPr>
            <w:tcW w:w="144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0C077C60" w14:textId="77777777" w:rsidR="00546EEB" w:rsidRDefault="00000000">
            <w:pPr>
              <w:jc w:val="right"/>
            </w:pPr>
            <w:r>
              <w:rPr>
                <w:rFonts w:eastAsia="Calibri"/>
              </w:rPr>
              <w:t>10%</w:t>
            </w:r>
          </w:p>
        </w:tc>
        <w:tc>
          <w:tcPr>
            <w:tcW w:w="1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163B1FCE" w14:textId="77777777" w:rsidR="00546EEB" w:rsidRDefault="00000000">
            <w:pPr>
              <w:jc w:val="right"/>
            </w:pPr>
            <w:r>
              <w:rPr>
                <w:rFonts w:eastAsia="Calibri"/>
              </w:rPr>
              <w:t>2.0</w:t>
            </w:r>
          </w:p>
        </w:tc>
      </w:tr>
      <w:tr w:rsidR="00546EEB" w14:paraId="31910CCF" w14:textId="77777777" w:rsidTr="00D570A5">
        <w:tc>
          <w:tcPr>
            <w:tcW w:w="1885"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06AE742" w14:textId="77777777" w:rsidR="00546EEB" w:rsidRDefault="00000000">
            <w:r>
              <w:rPr>
                <w:rFonts w:eastAsia="Calibri"/>
              </w:rPr>
              <w:t>Software Co.</w:t>
            </w:r>
          </w:p>
        </w:tc>
        <w:tc>
          <w:tcPr>
            <w:tcW w:w="12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036908B" w14:textId="77777777" w:rsidR="00546EEB" w:rsidRDefault="00000000">
            <w:pPr>
              <w:jc w:val="right"/>
            </w:pPr>
            <w:r>
              <w:rPr>
                <w:rFonts w:eastAsia="Calibri"/>
              </w:rPr>
              <w:t>$120</w:t>
            </w:r>
          </w:p>
        </w:tc>
        <w:tc>
          <w:tcPr>
            <w:tcW w:w="135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853D580" w14:textId="77777777" w:rsidR="00546EEB" w:rsidRDefault="00000000">
            <w:pPr>
              <w:jc w:val="right"/>
            </w:pPr>
            <w:r>
              <w:rPr>
                <w:rFonts w:eastAsia="Calibri"/>
              </w:rPr>
              <w:t>$3.00</w:t>
            </w:r>
          </w:p>
        </w:tc>
        <w:tc>
          <w:tcPr>
            <w:tcW w:w="135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3326165" w14:textId="77777777" w:rsidR="00546EEB" w:rsidRDefault="00000000">
            <w:pPr>
              <w:jc w:val="right"/>
            </w:pPr>
            <w:r>
              <w:rPr>
                <w:rFonts w:eastAsia="Calibri"/>
              </w:rPr>
              <w:t>40.0×</w:t>
            </w:r>
          </w:p>
        </w:tc>
        <w:tc>
          <w:tcPr>
            <w:tcW w:w="14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ECF4DFD" w14:textId="77777777" w:rsidR="00546EEB" w:rsidRDefault="00000000">
            <w:pPr>
              <w:jc w:val="right"/>
            </w:pPr>
            <w:r>
              <w:rPr>
                <w:rFonts w:eastAsia="Calibri"/>
              </w:rPr>
              <w:t>30%</w:t>
            </w:r>
          </w:p>
        </w:tc>
        <w:tc>
          <w:tcPr>
            <w:tcW w:w="12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1EFA4C6" w14:textId="77777777" w:rsidR="00546EEB" w:rsidRDefault="00000000">
            <w:pPr>
              <w:jc w:val="right"/>
            </w:pPr>
            <w:r>
              <w:rPr>
                <w:rFonts w:eastAsia="Calibri"/>
              </w:rPr>
              <w:t>1.3</w:t>
            </w:r>
          </w:p>
        </w:tc>
      </w:tr>
    </w:tbl>
    <w:p w14:paraId="6E2DAA76" w14:textId="793D8A53" w:rsidR="00546EEB" w:rsidRDefault="00000000">
      <w:pPr>
        <w:pStyle w:val="ListParagraph"/>
        <w:numPr>
          <w:ilvl w:val="0"/>
          <w:numId w:val="2"/>
        </w:numPr>
        <w:spacing w:after="40" w:line="256" w:lineRule="auto"/>
      </w:pPr>
      <w:r>
        <w:rPr>
          <w:rFonts w:eastAsia="Calibri"/>
          <w:b/>
          <w:bCs/>
        </w:rPr>
        <w:t xml:space="preserve">Caveat: </w:t>
      </w:r>
      <w:r>
        <w:rPr>
          <w:rFonts w:eastAsia="Calibri"/>
        </w:rPr>
        <w:t xml:space="preserve">the P/E is a shortcut, not a substitute for analysis. It breaks down when earnings are negative, volatile, or distorted by one-time items or aggressive accounting — exactly why earnings quality (Topic 6) matters. A clean DCF (Topic </w:t>
      </w:r>
      <w:r w:rsidR="000835AD">
        <w:rPr>
          <w:rFonts w:eastAsia="Calibri"/>
        </w:rPr>
        <w:t>4</w:t>
      </w:r>
      <w:r>
        <w:rPr>
          <w:rFonts w:eastAsia="Calibri"/>
        </w:rPr>
        <w:t>) is the more complete tool.</w:t>
      </w:r>
    </w:p>
    <w:p w14:paraId="68F1715E" w14:textId="77777777" w:rsidR="00546EEB" w:rsidRDefault="00546EEB">
      <w:pPr>
        <w:spacing w:after="120"/>
      </w:pPr>
    </w:p>
    <w:tbl>
      <w:tblPr>
        <w:tblW w:w="8902"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02"/>
      </w:tblGrid>
      <w:tr w:rsidR="00546EEB" w14:paraId="6B6B2570" w14:textId="77777777" w:rsidTr="00D570A5">
        <w:tc>
          <w:tcPr>
            <w:tcW w:w="8902"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119710C6" w14:textId="77777777" w:rsidR="00546EEB" w:rsidRDefault="00000000">
            <w:pPr>
              <w:spacing w:line="264" w:lineRule="auto"/>
            </w:pPr>
            <w:r>
              <w:rPr>
                <w:rFonts w:eastAsia="Calibri"/>
                <w:b/>
                <w:bCs/>
                <w:color w:val="7F6000"/>
              </w:rPr>
              <w:lastRenderedPageBreak/>
              <w:t xml:space="preserve">Key Takeaway:  </w:t>
            </w:r>
            <w:r>
              <w:rPr>
                <w:rFonts w:eastAsia="Calibri"/>
              </w:rPr>
              <w:t>A P/E ratio is a compressed DCF. It silently embeds assumptions about growth, risk, and earnings quality. Use it to compare similar firms quickly — but always ask what the multiple is assuming.</w:t>
            </w:r>
          </w:p>
        </w:tc>
      </w:tr>
    </w:tbl>
    <w:p w14:paraId="08882BA8" w14:textId="77777777" w:rsidR="00546EEB" w:rsidRDefault="00546EEB">
      <w:pPr>
        <w:spacing w:after="140"/>
      </w:pPr>
    </w:p>
    <w:tbl>
      <w:tblPr>
        <w:tblW w:w="890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00"/>
      </w:tblGrid>
      <w:tr w:rsidR="00546EEB" w14:paraId="2D38EBC7" w14:textId="77777777" w:rsidTr="00D570A5">
        <w:tc>
          <w:tcPr>
            <w:tcW w:w="890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6AFF8A25" w14:textId="47544B7D" w:rsidR="00546EEB" w:rsidRDefault="00000000">
            <w:pPr>
              <w:spacing w:after="80"/>
            </w:pPr>
            <w:r>
              <w:rPr>
                <w:rFonts w:eastAsia="Calibri"/>
                <w:b/>
                <w:bCs/>
              </w:rPr>
              <w:t>Concept Quiz #</w:t>
            </w:r>
            <w:r w:rsidR="00C170E7">
              <w:rPr>
                <w:rFonts w:eastAsia="Calibri"/>
                <w:b/>
                <w:bCs/>
              </w:rPr>
              <w:t>4</w:t>
            </w:r>
          </w:p>
          <w:p w14:paraId="68639D88" w14:textId="77777777" w:rsidR="00546EEB" w:rsidRDefault="00000000">
            <w:pPr>
              <w:tabs>
                <w:tab w:val="left" w:pos="432"/>
              </w:tabs>
              <w:spacing w:before="120" w:after="30"/>
              <w:ind w:left="432" w:hanging="288"/>
            </w:pPr>
            <w:r>
              <w:rPr>
                <w:rFonts w:eastAsia="Calibri"/>
              </w:rPr>
              <w:t>1.</w:t>
            </w:r>
            <w:r>
              <w:rPr>
                <w:rFonts w:eastAsia="Calibri"/>
              </w:rPr>
              <w:tab/>
              <w:t>A stock trades at $90 and reports EPS of $6.00. Its P/E ratio is:</w:t>
            </w:r>
          </w:p>
          <w:p w14:paraId="0D42C5EF" w14:textId="7DA481A3" w:rsidR="00546EEB" w:rsidRDefault="00000000">
            <w:pPr>
              <w:tabs>
                <w:tab w:val="left" w:pos="792"/>
              </w:tabs>
              <w:spacing w:after="14"/>
              <w:ind w:left="792" w:hanging="288"/>
            </w:pPr>
            <w:r>
              <w:rPr>
                <w:rFonts w:eastAsia="Calibri"/>
              </w:rPr>
              <w:t>a.</w:t>
            </w:r>
            <w:r>
              <w:rPr>
                <w:rFonts w:eastAsia="Calibri"/>
              </w:rPr>
              <w:tab/>
              <w:t>6.0×</w:t>
            </w:r>
            <w:r w:rsidR="00D570A5">
              <w:rPr>
                <w:rFonts w:eastAsia="Malgun Gothic" w:hint="eastAsia"/>
                <w:lang w:eastAsia="ko-KR"/>
              </w:rPr>
              <w:t xml:space="preserve">                       </w:t>
            </w:r>
            <w:r w:rsidR="00ED1D53">
              <w:rPr>
                <w:rFonts w:eastAsia="Malgun Gothic" w:hint="eastAsia"/>
                <w:lang w:eastAsia="ko-KR"/>
              </w:rPr>
              <w:t xml:space="preserve">                 </w:t>
            </w:r>
            <w:r>
              <w:rPr>
                <w:rFonts w:eastAsia="Calibri"/>
              </w:rPr>
              <w:t>b.</w:t>
            </w:r>
            <w:r w:rsidR="00ED1D53">
              <w:rPr>
                <w:rFonts w:eastAsia="Malgun Gothic" w:hint="eastAsia"/>
                <w:lang w:eastAsia="ko-KR"/>
              </w:rPr>
              <w:t xml:space="preserve"> </w:t>
            </w:r>
            <w:r>
              <w:rPr>
                <w:rFonts w:eastAsia="Calibri"/>
              </w:rPr>
              <w:t>15.0×</w:t>
            </w:r>
          </w:p>
          <w:p w14:paraId="629D9512" w14:textId="4746AE96" w:rsidR="00546EEB" w:rsidRDefault="00000000">
            <w:pPr>
              <w:tabs>
                <w:tab w:val="left" w:pos="792"/>
              </w:tabs>
              <w:spacing w:after="14"/>
              <w:ind w:left="792" w:hanging="288"/>
            </w:pPr>
            <w:r>
              <w:rPr>
                <w:rFonts w:eastAsia="Calibri"/>
              </w:rPr>
              <w:t>c.</w:t>
            </w:r>
            <w:r>
              <w:rPr>
                <w:rFonts w:eastAsia="Calibri"/>
              </w:rPr>
              <w:tab/>
              <w:t>0.067×</w:t>
            </w:r>
            <w:r w:rsidR="00D570A5">
              <w:rPr>
                <w:rFonts w:eastAsia="Malgun Gothic" w:hint="eastAsia"/>
                <w:lang w:eastAsia="ko-KR"/>
              </w:rPr>
              <w:t xml:space="preserve">                  </w:t>
            </w:r>
            <w:r w:rsidR="00ED1D53">
              <w:rPr>
                <w:rFonts w:eastAsia="Malgun Gothic" w:hint="eastAsia"/>
                <w:lang w:eastAsia="ko-KR"/>
              </w:rPr>
              <w:t xml:space="preserve">                  </w:t>
            </w:r>
            <w:r>
              <w:rPr>
                <w:rFonts w:eastAsia="Calibri"/>
              </w:rPr>
              <w:t>d.</w:t>
            </w:r>
            <w:r w:rsidR="00D570A5">
              <w:rPr>
                <w:rFonts w:eastAsia="Malgun Gothic" w:hint="eastAsia"/>
                <w:lang w:eastAsia="ko-KR"/>
              </w:rPr>
              <w:t xml:space="preserve">  </w:t>
            </w:r>
            <w:r>
              <w:rPr>
                <w:rFonts w:eastAsia="Calibri"/>
              </w:rPr>
              <w:t>540×</w:t>
            </w:r>
          </w:p>
          <w:p w14:paraId="526CB1DF" w14:textId="77777777" w:rsidR="00546EEB" w:rsidRDefault="00000000">
            <w:pPr>
              <w:tabs>
                <w:tab w:val="left" w:pos="432"/>
              </w:tabs>
              <w:spacing w:before="120" w:after="30"/>
              <w:ind w:left="432" w:hanging="288"/>
            </w:pPr>
            <w:r>
              <w:rPr>
                <w:rFonts w:eastAsia="Calibri"/>
              </w:rPr>
              <w:t>2.</w:t>
            </w:r>
            <w:r>
              <w:rPr>
                <w:rFonts w:eastAsia="Calibri"/>
              </w:rPr>
              <w:tab/>
              <w:t>All else equal, an increase in a firm’s risk (its discount rate) should cause its justified P/E ratio to:</w:t>
            </w:r>
          </w:p>
          <w:p w14:paraId="62091C79" w14:textId="74AFD3CD" w:rsidR="00546EEB" w:rsidRDefault="00000000">
            <w:pPr>
              <w:tabs>
                <w:tab w:val="left" w:pos="792"/>
              </w:tabs>
              <w:spacing w:after="14"/>
              <w:ind w:left="792" w:hanging="288"/>
            </w:pPr>
            <w:r>
              <w:rPr>
                <w:rFonts w:eastAsia="Calibri"/>
              </w:rPr>
              <w:t>a.</w:t>
            </w:r>
            <w:r>
              <w:rPr>
                <w:rFonts w:eastAsia="Calibri"/>
              </w:rPr>
              <w:tab/>
              <w:t>increase</w:t>
            </w:r>
            <w:r w:rsidR="00ED1D53">
              <w:rPr>
                <w:rFonts w:eastAsia="Malgun Gothic" w:hint="eastAsia"/>
                <w:lang w:eastAsia="ko-KR"/>
              </w:rPr>
              <w:t xml:space="preserve">                                  </w:t>
            </w:r>
            <w:r>
              <w:rPr>
                <w:rFonts w:eastAsia="Calibri"/>
              </w:rPr>
              <w:t>b.</w:t>
            </w:r>
            <w:r>
              <w:rPr>
                <w:rFonts w:eastAsia="Calibri"/>
              </w:rPr>
              <w:tab/>
              <w:t>decrease</w:t>
            </w:r>
          </w:p>
          <w:p w14:paraId="27225C08" w14:textId="0A369CA5" w:rsidR="00546EEB" w:rsidRDefault="00000000">
            <w:pPr>
              <w:tabs>
                <w:tab w:val="left" w:pos="792"/>
              </w:tabs>
              <w:spacing w:after="14"/>
              <w:ind w:left="792" w:hanging="288"/>
            </w:pPr>
            <w:r>
              <w:rPr>
                <w:rFonts w:eastAsia="Calibri"/>
              </w:rPr>
              <w:t>c.</w:t>
            </w:r>
            <w:r>
              <w:rPr>
                <w:rFonts w:eastAsia="Calibri"/>
              </w:rPr>
              <w:tab/>
              <w:t>stay the same</w:t>
            </w:r>
            <w:r w:rsidR="00ED1D53">
              <w:rPr>
                <w:rFonts w:eastAsia="Malgun Gothic" w:hint="eastAsia"/>
                <w:lang w:eastAsia="ko-KR"/>
              </w:rPr>
              <w:t xml:space="preserve">                        </w:t>
            </w:r>
            <w:r>
              <w:rPr>
                <w:rFonts w:eastAsia="Calibri"/>
              </w:rPr>
              <w:t>d.</w:t>
            </w:r>
            <w:r>
              <w:rPr>
                <w:rFonts w:eastAsia="Calibri"/>
              </w:rPr>
              <w:tab/>
              <w:t>become negative</w:t>
            </w:r>
          </w:p>
          <w:p w14:paraId="6C316231" w14:textId="77777777" w:rsidR="00546EEB" w:rsidRDefault="00000000">
            <w:pPr>
              <w:tabs>
                <w:tab w:val="left" w:pos="432"/>
              </w:tabs>
              <w:spacing w:before="120" w:after="30"/>
              <w:ind w:left="432" w:hanging="288"/>
            </w:pPr>
            <w:r>
              <w:rPr>
                <w:rFonts w:eastAsia="Calibri"/>
              </w:rPr>
              <w:t>3.</w:t>
            </w:r>
            <w:r>
              <w:rPr>
                <w:rFonts w:eastAsia="Calibri"/>
              </w:rPr>
              <w:tab/>
              <w:t>Firm X has a P/E of 25 and growth of 25%; Firm Y has a P/E of 12 and growth of 4%. Based on PEG alone, which appears more reasonably priced?</w:t>
            </w:r>
          </w:p>
          <w:p w14:paraId="3D90CFFC" w14:textId="77777777" w:rsidR="00546EEB" w:rsidRDefault="00000000">
            <w:pPr>
              <w:tabs>
                <w:tab w:val="left" w:pos="792"/>
              </w:tabs>
              <w:spacing w:after="14"/>
              <w:ind w:left="792" w:hanging="288"/>
            </w:pPr>
            <w:r>
              <w:rPr>
                <w:rFonts w:eastAsia="Calibri"/>
              </w:rPr>
              <w:t>a.</w:t>
            </w:r>
            <w:r>
              <w:rPr>
                <w:rFonts w:eastAsia="Calibri"/>
              </w:rPr>
              <w:tab/>
              <w:t>Firm X (PEG = 1.0)</w:t>
            </w:r>
          </w:p>
          <w:p w14:paraId="7787DCD2" w14:textId="77777777" w:rsidR="00546EEB" w:rsidRDefault="00000000">
            <w:pPr>
              <w:tabs>
                <w:tab w:val="left" w:pos="792"/>
              </w:tabs>
              <w:spacing w:after="14"/>
              <w:ind w:left="792" w:hanging="288"/>
            </w:pPr>
            <w:r>
              <w:rPr>
                <w:rFonts w:eastAsia="Calibri"/>
              </w:rPr>
              <w:t>b.</w:t>
            </w:r>
            <w:r>
              <w:rPr>
                <w:rFonts w:eastAsia="Calibri"/>
              </w:rPr>
              <w:tab/>
              <w:t>Firm Y (PEG = 3.0)</w:t>
            </w:r>
          </w:p>
          <w:p w14:paraId="322F622B" w14:textId="77777777" w:rsidR="00546EEB" w:rsidRDefault="00000000">
            <w:pPr>
              <w:tabs>
                <w:tab w:val="left" w:pos="792"/>
              </w:tabs>
              <w:spacing w:after="14"/>
              <w:ind w:left="792" w:hanging="288"/>
            </w:pPr>
            <w:r>
              <w:rPr>
                <w:rFonts w:eastAsia="Calibri"/>
              </w:rPr>
              <w:t>c.</w:t>
            </w:r>
            <w:r>
              <w:rPr>
                <w:rFonts w:eastAsia="Calibri"/>
              </w:rPr>
              <w:tab/>
              <w:t>They are identical</w:t>
            </w:r>
          </w:p>
          <w:p w14:paraId="5ED5EB74" w14:textId="77777777" w:rsidR="00546EEB" w:rsidRDefault="00000000">
            <w:pPr>
              <w:tabs>
                <w:tab w:val="left" w:pos="792"/>
              </w:tabs>
              <w:spacing w:after="14"/>
              <w:ind w:left="792" w:hanging="288"/>
            </w:pPr>
            <w:r>
              <w:rPr>
                <w:rFonts w:eastAsia="Calibri"/>
              </w:rPr>
              <w:t>d.</w:t>
            </w:r>
            <w:r>
              <w:rPr>
                <w:rFonts w:eastAsia="Calibri"/>
              </w:rPr>
              <w:tab/>
              <w:t>Cannot tell</w:t>
            </w:r>
          </w:p>
          <w:p w14:paraId="4FB6A731" w14:textId="6D5AF6B0" w:rsidR="00546EEB" w:rsidRDefault="00546EEB">
            <w:pPr>
              <w:spacing w:before="120" w:after="20"/>
            </w:pPr>
          </w:p>
        </w:tc>
      </w:tr>
    </w:tbl>
    <w:p w14:paraId="1C657E57" w14:textId="77777777" w:rsidR="00942515" w:rsidRDefault="00942515">
      <w:pPr>
        <w:rPr>
          <w:rFonts w:eastAsia="Calibri"/>
          <w:b/>
          <w:bCs/>
          <w:color w:val="1F3864"/>
          <w:sz w:val="36"/>
          <w:szCs w:val="36"/>
        </w:rPr>
      </w:pPr>
      <w:r>
        <w:br w:type="page"/>
      </w:r>
    </w:p>
    <w:p w14:paraId="4A0CF3D6" w14:textId="5CA8EF72" w:rsidR="00546EEB" w:rsidRPr="00B960BF" w:rsidRDefault="00ED1D53" w:rsidP="004E500A">
      <w:pPr>
        <w:pStyle w:val="Heading1"/>
        <w:spacing w:before="0"/>
        <w:rPr>
          <w:rFonts w:eastAsia="Malgun Gothic"/>
          <w:lang w:eastAsia="ko-KR"/>
        </w:rPr>
      </w:pPr>
      <w:bookmarkStart w:id="4" w:name="_Toc235219225"/>
      <w:r>
        <w:rPr>
          <w:rFonts w:eastAsia="Malgun Gothic" w:hint="eastAsia"/>
          <w:lang w:eastAsia="ko-KR"/>
        </w:rPr>
        <w:lastRenderedPageBreak/>
        <w:t>T</w:t>
      </w:r>
      <w:r>
        <w:t xml:space="preserve">opic </w:t>
      </w:r>
      <w:r w:rsidR="000F11EA">
        <w:t>4</w:t>
      </w:r>
      <w:r>
        <w:t>A:</w:t>
      </w:r>
      <w:r>
        <w:tab/>
        <w:t xml:space="preserve">Trailing vs. Forward P/E in Practice </w:t>
      </w:r>
      <w:r w:rsidR="00C91610">
        <w:t>-</w:t>
      </w:r>
      <w:r>
        <w:t xml:space="preserve"> </w:t>
      </w:r>
      <w:r w:rsidRPr="00B960BF">
        <w:t>SKH</w:t>
      </w:r>
      <w:r w:rsidR="00C91610">
        <w:t>Y</w:t>
      </w:r>
      <w:r w:rsidRPr="00B960BF">
        <w:t xml:space="preserve"> &amp; NVDA</w:t>
      </w:r>
      <w:bookmarkEnd w:id="4"/>
    </w:p>
    <w:p w14:paraId="6DF33CFE" w14:textId="35582FAD" w:rsidR="00546EEB" w:rsidRDefault="00000000">
      <w:pPr>
        <w:pStyle w:val="ListParagraph"/>
        <w:numPr>
          <w:ilvl w:val="0"/>
          <w:numId w:val="2"/>
        </w:numPr>
        <w:spacing w:after="40" w:line="256" w:lineRule="auto"/>
      </w:pPr>
      <w:r>
        <w:rPr>
          <w:rFonts w:eastAsia="Calibri"/>
        </w:rPr>
        <w:t xml:space="preserve">Topics </w:t>
      </w:r>
      <w:r w:rsidR="00C170E7">
        <w:rPr>
          <w:rFonts w:eastAsia="Calibri"/>
        </w:rPr>
        <w:t>1</w:t>
      </w:r>
      <w:r>
        <w:rPr>
          <w:rFonts w:eastAsia="Calibri"/>
        </w:rPr>
        <w:t>–</w:t>
      </w:r>
      <w:r w:rsidR="000835AD">
        <w:rPr>
          <w:rFonts w:eastAsia="Calibri"/>
        </w:rPr>
        <w:t>4</w:t>
      </w:r>
      <w:r>
        <w:rPr>
          <w:rFonts w:eastAsia="Calibri"/>
        </w:rPr>
        <w:t xml:space="preserve"> valued a business from its cash flows. Here we put the </w:t>
      </w:r>
      <w:r>
        <w:rPr>
          <w:rFonts w:eastAsia="Calibri"/>
          <w:b/>
          <w:bCs/>
          <w:color w:val="C00000"/>
          <w:u w:val="single"/>
        </w:rPr>
        <w:t>P/E ratio</w:t>
      </w:r>
      <w:r>
        <w:rPr>
          <w:rFonts w:eastAsia="Calibri"/>
        </w:rPr>
        <w:t xml:space="preserve"> to work on two real AI-era stocks and read what the market is telling us through the gap between their trailing and forward multiples.</w:t>
      </w:r>
    </w:p>
    <w:p w14:paraId="2777DDD4" w14:textId="77777777" w:rsidR="00546EEB" w:rsidRDefault="00000000">
      <w:pPr>
        <w:pStyle w:val="ListParagraph"/>
        <w:numPr>
          <w:ilvl w:val="0"/>
          <w:numId w:val="2"/>
        </w:numPr>
        <w:spacing w:after="40" w:line="256" w:lineRule="auto"/>
      </w:pPr>
      <w:r>
        <w:rPr>
          <w:rFonts w:eastAsia="Calibri"/>
        </w:rPr>
        <w:t xml:space="preserve">Recall the two versions: </w:t>
      </w:r>
      <w:r>
        <w:rPr>
          <w:rFonts w:eastAsia="Calibri"/>
          <w:b/>
          <w:bCs/>
        </w:rPr>
        <w:t>trailing P/E</w:t>
      </w:r>
      <w:r>
        <w:rPr>
          <w:rFonts w:eastAsia="Calibri"/>
        </w:rPr>
        <w:t xml:space="preserve"> divides today’s price by the last twelve months of </w:t>
      </w:r>
      <w:r>
        <w:rPr>
          <w:rFonts w:eastAsia="Calibri"/>
          <w:i/>
          <w:iCs/>
        </w:rPr>
        <w:t>actual</w:t>
      </w:r>
      <w:r>
        <w:rPr>
          <w:rFonts w:eastAsia="Calibri"/>
        </w:rPr>
        <w:t xml:space="preserve"> earnings; </w:t>
      </w:r>
      <w:r>
        <w:rPr>
          <w:rFonts w:eastAsia="Calibri"/>
          <w:b/>
          <w:bCs/>
        </w:rPr>
        <w:t>forward P/E</w:t>
      </w:r>
      <w:r>
        <w:rPr>
          <w:rFonts w:eastAsia="Calibri"/>
        </w:rPr>
        <w:t xml:space="preserve"> divides it by the next twelve months of </w:t>
      </w:r>
      <w:r>
        <w:rPr>
          <w:rFonts w:eastAsia="Calibri"/>
          <w:i/>
          <w:iCs/>
        </w:rPr>
        <w:t>expected</w:t>
      </w:r>
      <w:r>
        <w:rPr>
          <w:rFonts w:eastAsia="Calibri"/>
        </w:rPr>
        <w:t xml:space="preserve"> earnings.</w:t>
      </w:r>
    </w:p>
    <w:p w14:paraId="3C85C3BD" w14:textId="77777777" w:rsidR="00546EEB" w:rsidRDefault="00000000">
      <w:pPr>
        <w:pStyle w:val="ListParagraph"/>
        <w:numPr>
          <w:ilvl w:val="0"/>
          <w:numId w:val="2"/>
        </w:numPr>
        <w:spacing w:after="40" w:line="256" w:lineRule="auto"/>
      </w:pPr>
      <w:r>
        <w:rPr>
          <w:rFonts w:eastAsia="Calibri"/>
        </w:rPr>
        <w:t>The relationship between the two is itself information. The price is the same numerator in both, so the only thing that changes is the earnings figure in the denominator:</w:t>
      </w:r>
    </w:p>
    <w:p w14:paraId="72B30C90" w14:textId="77777777" w:rsidR="00546EEB" w:rsidRDefault="00000000">
      <w:pPr>
        <w:pStyle w:val="ListParagraph"/>
        <w:numPr>
          <w:ilvl w:val="1"/>
          <w:numId w:val="2"/>
        </w:numPr>
        <w:spacing w:after="40" w:line="256" w:lineRule="auto"/>
      </w:pPr>
      <w:r>
        <w:rPr>
          <w:rFonts w:eastAsia="Calibri"/>
        </w:rPr>
        <w:t xml:space="preserve">forward P/E </w:t>
      </w:r>
      <w:r>
        <w:rPr>
          <w:rFonts w:eastAsia="Calibri"/>
          <w:b/>
          <w:bCs/>
        </w:rPr>
        <w:t>&lt;</w:t>
      </w:r>
      <w:r>
        <w:rPr>
          <w:rFonts w:eastAsia="Calibri"/>
        </w:rPr>
        <w:t xml:space="preserve"> trailing P/E  ⇒  the market expects EPS to </w:t>
      </w:r>
      <w:r>
        <w:rPr>
          <w:rFonts w:eastAsia="Calibri"/>
          <w:b/>
          <w:bCs/>
        </w:rPr>
        <w:t>rise</w:t>
      </w:r>
      <w:r>
        <w:rPr>
          <w:rFonts w:eastAsia="Calibri"/>
        </w:rPr>
        <w:t xml:space="preserve"> (a bigger denominator pulls the ratio down).</w:t>
      </w:r>
    </w:p>
    <w:p w14:paraId="59F5E786" w14:textId="77777777" w:rsidR="00546EEB" w:rsidRDefault="00000000">
      <w:pPr>
        <w:pStyle w:val="ListParagraph"/>
        <w:numPr>
          <w:ilvl w:val="1"/>
          <w:numId w:val="2"/>
        </w:numPr>
        <w:spacing w:after="40" w:line="256" w:lineRule="auto"/>
      </w:pPr>
      <w:r>
        <w:rPr>
          <w:rFonts w:eastAsia="Calibri"/>
        </w:rPr>
        <w:t xml:space="preserve">forward P/E </w:t>
      </w:r>
      <w:r>
        <w:rPr>
          <w:rFonts w:eastAsia="Calibri"/>
          <w:b/>
          <w:bCs/>
        </w:rPr>
        <w:t>&gt;</w:t>
      </w:r>
      <w:r>
        <w:rPr>
          <w:rFonts w:eastAsia="Calibri"/>
        </w:rPr>
        <w:t xml:space="preserve"> trailing P/E  ⇒  the market expects EPS to </w:t>
      </w:r>
      <w:r>
        <w:rPr>
          <w:rFonts w:eastAsia="Calibri"/>
          <w:b/>
          <w:bCs/>
        </w:rPr>
        <w:t>fall</w:t>
      </w:r>
      <w:r>
        <w:rPr>
          <w:rFonts w:eastAsia="Calibri"/>
        </w:rPr>
        <w:t>.</w:t>
      </w:r>
    </w:p>
    <w:p w14:paraId="49BFD938" w14:textId="77777777" w:rsidR="00546EEB" w:rsidRPr="00D570A5" w:rsidRDefault="00000000">
      <w:pPr>
        <w:spacing w:before="70" w:after="90"/>
        <w:jc w:val="center"/>
        <w:rPr>
          <w:sz w:val="18"/>
          <w:szCs w:val="18"/>
        </w:rPr>
      </w:pPr>
      <m:oMathPara>
        <m:oMath>
          <m:r>
            <m:rPr>
              <m:nor/>
            </m:rPr>
            <w:rPr>
              <w:rFonts w:ascii="Cambria Math" w:eastAsia="Cambria Math" w:hAnsi="Cambria Math" w:cs="Cambria Math"/>
              <w:i/>
              <w:color w:val="000000"/>
              <w:sz w:val="21"/>
              <w:szCs w:val="21"/>
            </w:rPr>
            <m:t>Implied 1-Year EPS Growth</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m:rPr>
                  <m:nor/>
                </m:rPr>
                <w:rPr>
                  <w:rFonts w:ascii="Cambria Math" w:eastAsia="Cambria Math" w:hAnsi="Cambria Math" w:cs="Cambria Math"/>
                  <w:i/>
                  <w:color w:val="000000"/>
                  <w:sz w:val="21"/>
                  <w:szCs w:val="21"/>
                </w:rPr>
                <m:t>Trailing P/E</m:t>
              </m:r>
            </m:num>
            <m:den>
              <m:r>
                <m:rPr>
                  <m:nor/>
                </m:rPr>
                <w:rPr>
                  <w:rFonts w:ascii="Cambria Math" w:eastAsia="Cambria Math" w:hAnsi="Cambria Math" w:cs="Cambria Math"/>
                  <w:i/>
                  <w:color w:val="000000"/>
                  <w:sz w:val="21"/>
                  <w:szCs w:val="21"/>
                </w:rPr>
                <m:t>Forward P/E</m:t>
              </m:r>
            </m:den>
          </m:f>
          <m:r>
            <w:rPr>
              <w:rFonts w:ascii="Cambria Math" w:eastAsia="Cambria Math" w:hAnsi="Cambria Math" w:cs="Cambria Math"/>
              <w:color w:val="000000"/>
              <w:sz w:val="21"/>
              <w:szCs w:val="21"/>
            </w:rPr>
            <m:t>-1</m:t>
          </m:r>
        </m:oMath>
      </m:oMathPara>
    </w:p>
    <w:p w14:paraId="5FFD1581" w14:textId="77777777" w:rsidR="00546EEB" w:rsidRDefault="00000000">
      <w:pPr>
        <w:tabs>
          <w:tab w:val="left" w:pos="360"/>
        </w:tabs>
        <w:spacing w:before="160" w:after="80"/>
      </w:pPr>
      <w:r>
        <w:rPr>
          <w:rFonts w:eastAsia="Calibri"/>
          <w:color w:val="1F3864"/>
          <w:sz w:val="27"/>
          <w:szCs w:val="27"/>
        </w:rPr>
        <w:t>A.</w:t>
      </w:r>
      <w:r>
        <w:rPr>
          <w:rFonts w:eastAsia="Calibri"/>
          <w:color w:val="1F3864"/>
          <w:sz w:val="27"/>
          <w:szCs w:val="27"/>
        </w:rPr>
        <w:tab/>
        <w:t>The Snapshot — SK Hynix vs. NVIDIA</w:t>
      </w:r>
    </w:p>
    <w:p w14:paraId="0B2EDFBE" w14:textId="77777777" w:rsidR="00546EEB" w:rsidRDefault="00000000">
      <w:pPr>
        <w:pStyle w:val="ListParagraph"/>
        <w:numPr>
          <w:ilvl w:val="0"/>
          <w:numId w:val="2"/>
        </w:numPr>
        <w:spacing w:after="40" w:line="256" w:lineRule="auto"/>
      </w:pPr>
      <w:r>
        <w:rPr>
          <w:rFonts w:eastAsia="Calibri"/>
        </w:rPr>
        <w:t xml:space="preserve">Both companies sit at the center of the AI build-out: NVIDIA designs the accelerators, and SK Hynix supplies the </w:t>
      </w:r>
      <w:r>
        <w:rPr>
          <w:rFonts w:eastAsia="Calibri"/>
          <w:b/>
          <w:bCs/>
          <w:color w:val="C00000"/>
          <w:u w:val="single"/>
        </w:rPr>
        <w:t>high-bandwidth memory (HBM)</w:t>
      </w:r>
      <w:r>
        <w:rPr>
          <w:rFonts w:eastAsia="Calibri"/>
        </w:rPr>
        <w:t xml:space="preserve"> that sits beside them. Here is how the market was pricing their earnings in late June 2026:</w:t>
      </w:r>
    </w:p>
    <w:p w14:paraId="204A2264" w14:textId="77777777" w:rsidR="00546EEB" w:rsidRDefault="00546EEB">
      <w:pPr>
        <w:spacing w:after="60"/>
      </w:pP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335"/>
        <w:gridCol w:w="2610"/>
      </w:tblGrid>
      <w:tr w:rsidR="00546EEB" w14:paraId="7E0E5C9F" w14:textId="77777777" w:rsidTr="00D570A5">
        <w:trPr>
          <w:tblHeader/>
        </w:trPr>
        <w:tc>
          <w:tcPr>
            <w:tcW w:w="396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571609CE" w14:textId="77777777" w:rsidR="00546EEB" w:rsidRDefault="00000000">
            <w:r>
              <w:rPr>
                <w:rFonts w:eastAsia="Calibri"/>
                <w:b/>
                <w:bCs/>
                <w:color w:val="1F3864"/>
              </w:rPr>
              <w:t>Metric</w:t>
            </w:r>
          </w:p>
        </w:tc>
        <w:tc>
          <w:tcPr>
            <w:tcW w:w="2335"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0382F583" w14:textId="77777777" w:rsidR="00546EEB" w:rsidRDefault="00000000">
            <w:pPr>
              <w:jc w:val="center"/>
            </w:pPr>
            <w:r>
              <w:rPr>
                <w:rFonts w:eastAsia="Calibri"/>
                <w:b/>
                <w:bCs/>
                <w:color w:val="1F3864"/>
              </w:rPr>
              <w:t>SK Hynix (KRX 000660)</w:t>
            </w:r>
          </w:p>
        </w:tc>
        <w:tc>
          <w:tcPr>
            <w:tcW w:w="261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5211559E" w14:textId="77777777" w:rsidR="00546EEB" w:rsidRDefault="00000000">
            <w:pPr>
              <w:jc w:val="center"/>
            </w:pPr>
            <w:r>
              <w:rPr>
                <w:rFonts w:eastAsia="Calibri"/>
                <w:b/>
                <w:bCs/>
                <w:color w:val="1F3864"/>
              </w:rPr>
              <w:t>NVIDIA (Nasdaq NVDA)</w:t>
            </w:r>
          </w:p>
        </w:tc>
      </w:tr>
      <w:tr w:rsidR="00546EEB" w14:paraId="1F0BF733" w14:textId="77777777" w:rsidTr="00D570A5">
        <w:tc>
          <w:tcPr>
            <w:tcW w:w="3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80431E2" w14:textId="77777777" w:rsidR="00546EEB" w:rsidRDefault="00000000">
            <w:r>
              <w:rPr>
                <w:rFonts w:eastAsia="Calibri"/>
              </w:rPr>
              <w:t>Trailing P/E  (last 12 mo. actual EPS)</w:t>
            </w:r>
          </w:p>
        </w:tc>
        <w:tc>
          <w:tcPr>
            <w:tcW w:w="2335"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3FA50CB" w14:textId="77777777" w:rsidR="00546EEB" w:rsidRDefault="00000000">
            <w:pPr>
              <w:jc w:val="center"/>
            </w:pPr>
            <w:r>
              <w:rPr>
                <w:rFonts w:eastAsia="Calibri"/>
              </w:rPr>
              <w:t>~17×</w:t>
            </w:r>
          </w:p>
        </w:tc>
        <w:tc>
          <w:tcPr>
            <w:tcW w:w="261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4FA3D3C" w14:textId="77777777" w:rsidR="00546EEB" w:rsidRDefault="00000000">
            <w:pPr>
              <w:jc w:val="center"/>
            </w:pPr>
            <w:r>
              <w:rPr>
                <w:rFonts w:eastAsia="Calibri"/>
              </w:rPr>
              <w:t>~32×</w:t>
            </w:r>
          </w:p>
        </w:tc>
      </w:tr>
      <w:tr w:rsidR="00546EEB" w14:paraId="3818686E" w14:textId="77777777" w:rsidTr="00D570A5">
        <w:tc>
          <w:tcPr>
            <w:tcW w:w="39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29170F2F" w14:textId="77777777" w:rsidR="00546EEB" w:rsidRDefault="00000000">
            <w:r>
              <w:rPr>
                <w:rFonts w:eastAsia="Calibri"/>
              </w:rPr>
              <w:t>Forward P/E  (next 12 mo. expected EPS)</w:t>
            </w:r>
          </w:p>
        </w:tc>
        <w:tc>
          <w:tcPr>
            <w:tcW w:w="2335"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74AE45A1" w14:textId="77777777" w:rsidR="00546EEB" w:rsidRDefault="00000000">
            <w:pPr>
              <w:jc w:val="center"/>
            </w:pPr>
            <w:r>
              <w:rPr>
                <w:rFonts w:eastAsia="Calibri"/>
              </w:rPr>
              <w:t>~6×</w:t>
            </w:r>
          </w:p>
        </w:tc>
        <w:tc>
          <w:tcPr>
            <w:tcW w:w="26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5CB21D3C" w14:textId="77777777" w:rsidR="00546EEB" w:rsidRDefault="00000000">
            <w:pPr>
              <w:jc w:val="center"/>
            </w:pPr>
            <w:r>
              <w:rPr>
                <w:rFonts w:eastAsia="Calibri"/>
              </w:rPr>
              <w:t>~22×</w:t>
            </w:r>
          </w:p>
        </w:tc>
      </w:tr>
      <w:tr w:rsidR="00546EEB" w14:paraId="1A544726" w14:textId="77777777" w:rsidTr="00D570A5">
        <w:tc>
          <w:tcPr>
            <w:tcW w:w="3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B6B1170" w14:textId="77777777" w:rsidR="00546EEB" w:rsidRDefault="00000000">
            <w:r>
              <w:rPr>
                <w:rFonts w:eastAsia="Calibri"/>
              </w:rPr>
              <w:t>Forward ÷ Trailing</w:t>
            </w:r>
          </w:p>
        </w:tc>
        <w:tc>
          <w:tcPr>
            <w:tcW w:w="2335"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588C87B" w14:textId="77777777" w:rsidR="00546EEB" w:rsidRDefault="00000000">
            <w:pPr>
              <w:jc w:val="center"/>
            </w:pPr>
            <w:r>
              <w:rPr>
                <w:rFonts w:eastAsia="Calibri"/>
              </w:rPr>
              <w:t>~0.35</w:t>
            </w:r>
          </w:p>
        </w:tc>
        <w:tc>
          <w:tcPr>
            <w:tcW w:w="261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B800BE0" w14:textId="77777777" w:rsidR="00546EEB" w:rsidRDefault="00000000">
            <w:pPr>
              <w:jc w:val="center"/>
            </w:pPr>
            <w:r>
              <w:rPr>
                <w:rFonts w:eastAsia="Calibri"/>
              </w:rPr>
              <w:t>~0.69</w:t>
            </w:r>
          </w:p>
        </w:tc>
      </w:tr>
      <w:tr w:rsidR="00546EEB" w14:paraId="02516DEA" w14:textId="77777777" w:rsidTr="00D570A5">
        <w:tc>
          <w:tcPr>
            <w:tcW w:w="39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2E3A4E2E" w14:textId="77777777" w:rsidR="00546EEB" w:rsidRDefault="00000000">
            <w:r>
              <w:rPr>
                <w:rFonts w:eastAsia="Calibri"/>
                <w:b/>
                <w:bCs/>
              </w:rPr>
              <w:t>Implied 1-year EPS growth*</w:t>
            </w:r>
          </w:p>
        </w:tc>
        <w:tc>
          <w:tcPr>
            <w:tcW w:w="2335"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0DD5F83B" w14:textId="77777777" w:rsidR="00546EEB" w:rsidRDefault="00000000">
            <w:pPr>
              <w:jc w:val="center"/>
            </w:pPr>
            <w:r>
              <w:rPr>
                <w:rFonts w:eastAsia="Calibri"/>
                <w:b/>
                <w:bCs/>
              </w:rPr>
              <w:t>~+183%</w:t>
            </w:r>
          </w:p>
        </w:tc>
        <w:tc>
          <w:tcPr>
            <w:tcW w:w="26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64A0A7C7" w14:textId="77777777" w:rsidR="00546EEB" w:rsidRDefault="00000000">
            <w:pPr>
              <w:jc w:val="center"/>
            </w:pPr>
            <w:r>
              <w:rPr>
                <w:rFonts w:eastAsia="Calibri"/>
                <w:b/>
                <w:bCs/>
              </w:rPr>
              <w:t>~+45%</w:t>
            </w:r>
          </w:p>
        </w:tc>
      </w:tr>
    </w:tbl>
    <w:p w14:paraId="08F25DB6" w14:textId="77777777" w:rsidR="00546EEB" w:rsidRDefault="00546EEB">
      <w:pPr>
        <w:spacing w:after="40"/>
      </w:pPr>
    </w:p>
    <w:p w14:paraId="5501CF55" w14:textId="061D466A" w:rsidR="00546EEB" w:rsidRPr="00AF1D40" w:rsidRDefault="00000000">
      <w:pPr>
        <w:spacing w:after="80" w:line="256" w:lineRule="auto"/>
        <w:ind w:left="360"/>
        <w:rPr>
          <w:rFonts w:eastAsia="Malgun Gothic" w:hint="eastAsia"/>
          <w:lang w:eastAsia="ko-KR"/>
        </w:rPr>
      </w:pPr>
      <w:r>
        <w:rPr>
          <w:rFonts w:eastAsia="Calibri"/>
          <w:i/>
          <w:iCs/>
          <w:color w:val="595959"/>
          <w:sz w:val="19"/>
          <w:szCs w:val="19"/>
        </w:rPr>
        <w:t>*Implied growth ≈ (Trailing P/E ÷ Forward P/E) − 1. Figures are rounded snapshots from public market-data aggregators in late June 2026; multiples move daily</w:t>
      </w:r>
      <w:r w:rsidR="00AF1D40">
        <w:rPr>
          <w:rFonts w:eastAsia="Malgun Gothic" w:hint="eastAsia"/>
          <w:i/>
          <w:iCs/>
          <w:color w:val="595959"/>
          <w:sz w:val="19"/>
          <w:szCs w:val="19"/>
          <w:lang w:eastAsia="ko-KR"/>
        </w:rPr>
        <w:t>.</w:t>
      </w:r>
    </w:p>
    <w:p w14:paraId="417BD3E6" w14:textId="77777777" w:rsidR="00546EEB" w:rsidRDefault="00000000">
      <w:pPr>
        <w:pStyle w:val="ListParagraph"/>
        <w:numPr>
          <w:ilvl w:val="0"/>
          <w:numId w:val="2"/>
        </w:numPr>
        <w:spacing w:after="40" w:line="256" w:lineRule="auto"/>
      </w:pPr>
      <w:r>
        <w:rPr>
          <w:rFonts w:eastAsia="Calibri"/>
        </w:rPr>
        <w:t xml:space="preserve">Read the table in one sentence: </w:t>
      </w:r>
      <w:r>
        <w:rPr>
          <w:rFonts w:eastAsia="Calibri"/>
          <w:i/>
          <w:iCs/>
        </w:rPr>
        <w:t>both</w:t>
      </w:r>
      <w:r>
        <w:rPr>
          <w:rFonts w:eastAsia="Calibri"/>
        </w:rPr>
        <w:t xml:space="preserve"> stocks have a forward P/E below their trailing P/E — so the market expects both to grow earnings — but SK Hynix’s gap is far larger.</w:t>
      </w:r>
    </w:p>
    <w:p w14:paraId="198E5ED7" w14:textId="77777777" w:rsidR="00D570A5" w:rsidRDefault="00D570A5">
      <w:pPr>
        <w:rPr>
          <w:rFonts w:eastAsia="Calibri"/>
          <w:color w:val="1F3864"/>
          <w:sz w:val="27"/>
          <w:szCs w:val="27"/>
        </w:rPr>
      </w:pPr>
      <w:r>
        <w:rPr>
          <w:rFonts w:eastAsia="Calibri"/>
          <w:color w:val="1F3864"/>
          <w:sz w:val="27"/>
          <w:szCs w:val="27"/>
        </w:rPr>
        <w:br w:type="page"/>
      </w:r>
    </w:p>
    <w:p w14:paraId="467CFBEA" w14:textId="0680E2ED" w:rsidR="00546EEB" w:rsidRDefault="00000000">
      <w:pPr>
        <w:tabs>
          <w:tab w:val="left" w:pos="360"/>
        </w:tabs>
        <w:spacing w:before="160" w:after="80"/>
      </w:pPr>
      <w:r>
        <w:rPr>
          <w:rFonts w:eastAsia="Calibri"/>
          <w:color w:val="1F3864"/>
          <w:sz w:val="27"/>
          <w:szCs w:val="27"/>
        </w:rPr>
        <w:lastRenderedPageBreak/>
        <w:t>B.</w:t>
      </w:r>
      <w:r>
        <w:rPr>
          <w:rFonts w:eastAsia="Calibri"/>
          <w:color w:val="1F3864"/>
          <w:sz w:val="27"/>
          <w:szCs w:val="27"/>
        </w:rPr>
        <w:tab/>
        <w:t>Why SK Hynix’s Forward P/E Is So Much Lower Than Its Trailing P/E</w:t>
      </w:r>
    </w:p>
    <w:p w14:paraId="43D92649" w14:textId="77777777" w:rsidR="00546EEB" w:rsidRDefault="00000000">
      <w:pPr>
        <w:pStyle w:val="ListParagraph"/>
        <w:numPr>
          <w:ilvl w:val="0"/>
          <w:numId w:val="2"/>
        </w:numPr>
        <w:spacing w:after="40" w:line="256" w:lineRule="auto"/>
      </w:pPr>
      <w:r>
        <w:rPr>
          <w:rFonts w:eastAsia="Calibri"/>
        </w:rPr>
        <w:t xml:space="preserve">SK Hynix is a </w:t>
      </w:r>
      <w:r>
        <w:rPr>
          <w:rFonts w:eastAsia="Calibri"/>
          <w:b/>
          <w:bCs/>
          <w:color w:val="C00000"/>
          <w:u w:val="single"/>
        </w:rPr>
        <w:t>cyclical memory maker</w:t>
      </w:r>
      <w:r>
        <w:rPr>
          <w:rFonts w:eastAsia="Calibri"/>
        </w:rPr>
        <w:t xml:space="preserve"> (DRAM and NAND) and the leading supplier of HBM for AI servers. Memory is essentially a commodity: prices and profits swing violently with the industry supply–demand cycle.</w:t>
      </w:r>
    </w:p>
    <w:p w14:paraId="7C9E9608" w14:textId="77777777" w:rsidR="00546EEB" w:rsidRDefault="00000000">
      <w:pPr>
        <w:pStyle w:val="ListParagraph"/>
        <w:numPr>
          <w:ilvl w:val="0"/>
          <w:numId w:val="2"/>
        </w:numPr>
        <w:spacing w:after="40" w:line="256" w:lineRule="auto"/>
      </w:pPr>
      <w:r>
        <w:rPr>
          <w:rFonts w:eastAsia="Calibri"/>
        </w:rPr>
        <w:t xml:space="preserve">The company swung from heavy </w:t>
      </w:r>
      <w:r>
        <w:rPr>
          <w:rFonts w:eastAsia="Calibri"/>
          <w:b/>
          <w:bCs/>
        </w:rPr>
        <w:t>losses</w:t>
      </w:r>
      <w:r>
        <w:rPr>
          <w:rFonts w:eastAsia="Calibri"/>
        </w:rPr>
        <w:t xml:space="preserve"> in the 2023 memory downturn to </w:t>
      </w:r>
      <w:r>
        <w:rPr>
          <w:rFonts w:eastAsia="Calibri"/>
          <w:b/>
          <w:bCs/>
        </w:rPr>
        <w:t>record profits</w:t>
      </w:r>
      <w:r>
        <w:rPr>
          <w:rFonts w:eastAsia="Calibri"/>
        </w:rPr>
        <w:t xml:space="preserve"> in the current AI-driven upcycle. Its trailing earnings still sit partway up that climb; its expected earnings are much higher.</w:t>
      </w:r>
    </w:p>
    <w:p w14:paraId="6AEEB71A" w14:textId="77777777" w:rsidR="00546EEB" w:rsidRDefault="00000000">
      <w:pPr>
        <w:pStyle w:val="ListParagraph"/>
        <w:numPr>
          <w:ilvl w:val="0"/>
          <w:numId w:val="2"/>
        </w:numPr>
        <w:spacing w:after="40" w:line="256" w:lineRule="auto"/>
      </w:pPr>
      <w:r>
        <w:rPr>
          <w:rFonts w:eastAsia="Calibri"/>
        </w:rPr>
        <w:t xml:space="preserve">So a forward P/E of ~6× against a trailing P/E of ~17× is the market saying it expects SK Hynix’s EPS to roughly </w:t>
      </w:r>
      <w:r>
        <w:rPr>
          <w:rFonts w:eastAsia="Calibri"/>
          <w:b/>
          <w:bCs/>
        </w:rPr>
        <w:t>triple</w:t>
      </w:r>
      <w:r>
        <w:rPr>
          <w:rFonts w:eastAsia="Calibri"/>
        </w:rPr>
        <w:t xml:space="preserve"> over the next year:</w:t>
      </w:r>
    </w:p>
    <w:tbl>
      <w:tblPr>
        <w:tblW w:w="666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20"/>
      </w:tblGrid>
      <w:tr w:rsidR="00546EEB" w14:paraId="276AEB22" w14:textId="77777777">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62F34692" w14:textId="77777777" w:rsidR="00546EEB" w:rsidRPr="00D570A5" w:rsidRDefault="00000000" w:rsidP="00D570A5">
            <w:pPr>
              <w:rPr>
                <w:sz w:val="21"/>
                <w:szCs w:val="21"/>
              </w:rPr>
            </w:pPr>
            <w:r w:rsidRPr="00D570A5">
              <w:rPr>
                <w:rFonts w:eastAsia="Calibri"/>
                <w:color w:val="000000"/>
                <w:sz w:val="21"/>
                <w:szCs w:val="21"/>
              </w:rPr>
              <w:t>SK Hynix trailing P/E</w:t>
            </w:r>
          </w:p>
        </w:tc>
        <w:tc>
          <w:tcPr>
            <w:tcW w:w="162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29E73F0F" w14:textId="77777777" w:rsidR="00546EEB" w:rsidRPr="00D570A5" w:rsidRDefault="00000000" w:rsidP="00D570A5">
            <w:pPr>
              <w:jc w:val="right"/>
              <w:rPr>
                <w:sz w:val="21"/>
                <w:szCs w:val="21"/>
              </w:rPr>
            </w:pPr>
            <w:r w:rsidRPr="00D570A5">
              <w:rPr>
                <w:rFonts w:eastAsia="Calibri"/>
                <w:color w:val="C00000"/>
                <w:sz w:val="21"/>
                <w:szCs w:val="21"/>
              </w:rPr>
              <w:t>17×</w:t>
            </w:r>
          </w:p>
        </w:tc>
      </w:tr>
      <w:tr w:rsidR="00546EEB" w14:paraId="26183A9D" w14:textId="77777777">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4BCB322B" w14:textId="77777777" w:rsidR="00546EEB" w:rsidRPr="00D570A5" w:rsidRDefault="00000000" w:rsidP="00D570A5">
            <w:pPr>
              <w:rPr>
                <w:sz w:val="21"/>
                <w:szCs w:val="21"/>
              </w:rPr>
            </w:pPr>
            <w:r w:rsidRPr="00D570A5">
              <w:rPr>
                <w:rFonts w:eastAsia="Calibri"/>
                <w:color w:val="000000"/>
                <w:sz w:val="21"/>
                <w:szCs w:val="21"/>
              </w:rPr>
              <w:t>SK Hynix forward P/E</w:t>
            </w:r>
          </w:p>
        </w:tc>
        <w:tc>
          <w:tcPr>
            <w:tcW w:w="16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508C03" w14:textId="77777777" w:rsidR="00546EEB" w:rsidRPr="00D570A5" w:rsidRDefault="00000000" w:rsidP="00D570A5">
            <w:pPr>
              <w:jc w:val="right"/>
              <w:rPr>
                <w:sz w:val="21"/>
                <w:szCs w:val="21"/>
              </w:rPr>
            </w:pPr>
            <w:r w:rsidRPr="00D570A5">
              <w:rPr>
                <w:rFonts w:eastAsia="Calibri"/>
                <w:color w:val="C00000"/>
                <w:sz w:val="21"/>
                <w:szCs w:val="21"/>
              </w:rPr>
              <w:t>6×</w:t>
            </w:r>
          </w:p>
        </w:tc>
      </w:tr>
      <w:tr w:rsidR="00546EEB" w14:paraId="6323E81A" w14:textId="77777777">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0A8D659E" w14:textId="77777777" w:rsidR="00546EEB" w:rsidRPr="00D570A5" w:rsidRDefault="00000000" w:rsidP="00D570A5">
            <w:pPr>
              <w:rPr>
                <w:sz w:val="21"/>
                <w:szCs w:val="21"/>
              </w:rPr>
            </w:pPr>
            <m:oMathPara>
              <m:oMath>
                <m:r>
                  <m:rPr>
                    <m:nor/>
                  </m:rPr>
                  <w:rPr>
                    <w:rFonts w:eastAsia="Cambria Math"/>
                    <w:b/>
                    <w:bCs/>
                    <w:color w:val="1F3864"/>
                    <w:sz w:val="21"/>
                    <w:szCs w:val="21"/>
                  </w:rPr>
                  <m:t>Implied 1-year EPS growth</m:t>
                </m:r>
                <m:r>
                  <m:rPr>
                    <m:sty m:val="bi"/>
                  </m:rPr>
                  <w:rPr>
                    <w:rFonts w:ascii="Cambria Math" w:eastAsia="Cambria Math" w:hAnsi="Cambria Math"/>
                    <w:color w:val="1F3864"/>
                    <w:sz w:val="21"/>
                    <w:szCs w:val="21"/>
                  </w:rPr>
                  <m:t>=</m:t>
                </m:r>
                <m:f>
                  <m:fPr>
                    <m:ctrlPr>
                      <w:rPr>
                        <w:rFonts w:ascii="Cambria Math" w:eastAsia="Cambria Math" w:hAnsi="Cambria Math"/>
                        <w:b/>
                        <w:bCs/>
                        <w:i/>
                        <w:color w:val="1F3864"/>
                        <w:sz w:val="21"/>
                        <w:szCs w:val="21"/>
                      </w:rPr>
                    </m:ctrlPr>
                  </m:fPr>
                  <m:num>
                    <m:r>
                      <m:rPr>
                        <m:sty m:val="bi"/>
                      </m:rPr>
                      <w:rPr>
                        <w:rFonts w:ascii="Cambria Math" w:eastAsia="Cambria Math" w:hAnsi="Cambria Math"/>
                        <w:color w:val="1F3864"/>
                        <w:sz w:val="21"/>
                        <w:szCs w:val="21"/>
                      </w:rPr>
                      <m:t>17</m:t>
                    </m:r>
                  </m:num>
                  <m:den>
                    <m:r>
                      <m:rPr>
                        <m:sty m:val="bi"/>
                      </m:rPr>
                      <w:rPr>
                        <w:rFonts w:ascii="Cambria Math" w:eastAsia="Cambria Math" w:hAnsi="Cambria Math"/>
                        <w:color w:val="1F3864"/>
                        <w:sz w:val="21"/>
                        <w:szCs w:val="21"/>
                      </w:rPr>
                      <m:t>6</m:t>
                    </m:r>
                  </m:den>
                </m:f>
                <m:r>
                  <m:rPr>
                    <m:sty m:val="bi"/>
                  </m:rPr>
                  <w:rPr>
                    <w:rFonts w:ascii="Cambria Math" w:eastAsia="Cambria Math" w:hAnsi="Cambria Math"/>
                    <w:color w:val="1F3864"/>
                    <w:sz w:val="21"/>
                    <w:szCs w:val="21"/>
                  </w:rPr>
                  <m:t>-1</m:t>
                </m:r>
              </m:oMath>
            </m:oMathPara>
          </w:p>
        </w:tc>
        <w:tc>
          <w:tcPr>
            <w:tcW w:w="162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6D8003EF" w14:textId="77777777" w:rsidR="00546EEB" w:rsidRPr="00D570A5" w:rsidRDefault="00000000" w:rsidP="00D570A5">
            <w:pPr>
              <w:jc w:val="right"/>
              <w:rPr>
                <w:sz w:val="21"/>
                <w:szCs w:val="21"/>
              </w:rPr>
            </w:pPr>
            <w:r w:rsidRPr="00D570A5">
              <w:rPr>
                <w:rFonts w:eastAsia="Calibri"/>
                <w:b/>
                <w:bCs/>
                <w:color w:val="C00000"/>
                <w:sz w:val="21"/>
                <w:szCs w:val="21"/>
              </w:rPr>
              <w:t>+183%</w:t>
            </w:r>
          </w:p>
        </w:tc>
      </w:tr>
    </w:tbl>
    <w:p w14:paraId="738C0615" w14:textId="77777777" w:rsidR="00546EEB" w:rsidRDefault="00546EEB">
      <w:pPr>
        <w:spacing w:after="60"/>
      </w:pPr>
    </w:p>
    <w:p w14:paraId="5DD24F42" w14:textId="77777777" w:rsidR="00546EEB" w:rsidRPr="000F11EA" w:rsidRDefault="00000000">
      <w:pPr>
        <w:pStyle w:val="ListParagraph"/>
        <w:numPr>
          <w:ilvl w:val="0"/>
          <w:numId w:val="2"/>
        </w:numPr>
        <w:spacing w:after="40" w:line="256" w:lineRule="auto"/>
      </w:pPr>
      <w:r>
        <w:rPr>
          <w:rFonts w:eastAsia="Calibri"/>
        </w:rPr>
        <w:t xml:space="preserve">In plain terms: at today’s price, investors are paying only about </w:t>
      </w:r>
      <w:r>
        <w:rPr>
          <w:rFonts w:eastAsia="Calibri"/>
          <w:i/>
          <w:iCs/>
        </w:rPr>
        <w:t>six times</w:t>
      </w:r>
      <w:r>
        <w:rPr>
          <w:rFonts w:eastAsia="Calibri"/>
        </w:rPr>
        <w:t xml:space="preserve"> next year’s expected earnings — precisely because those earnings are expected to be far larger than last year’s.</w:t>
      </w:r>
    </w:p>
    <w:p w14:paraId="6C18AD8E" w14:textId="77777777" w:rsidR="000F11EA" w:rsidRDefault="000F11EA" w:rsidP="000F11EA">
      <w:pPr>
        <w:pStyle w:val="ListParagraph"/>
        <w:spacing w:after="40" w:line="256" w:lineRule="auto"/>
        <w:ind w:left="504"/>
      </w:pPr>
    </w:p>
    <w:p w14:paraId="68378C16"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What the Low Forward P/E Means — Two Readings</w:t>
      </w:r>
    </w:p>
    <w:p w14:paraId="36062486" w14:textId="77777777" w:rsidR="00546EEB" w:rsidRDefault="00000000">
      <w:pPr>
        <w:pStyle w:val="ListParagraph"/>
        <w:numPr>
          <w:ilvl w:val="0"/>
          <w:numId w:val="2"/>
        </w:numPr>
        <w:spacing w:after="40" w:line="256" w:lineRule="auto"/>
      </w:pPr>
      <w:r>
        <w:rPr>
          <w:rFonts w:eastAsia="Calibri"/>
        </w:rPr>
        <w:t>A low forward multiple on a cyclical company can mean two very different things. A careful analyst holds both in mind.</w:t>
      </w:r>
    </w:p>
    <w:p w14:paraId="24B3FE2D" w14:textId="77264193" w:rsidR="00546EEB" w:rsidRDefault="00000000">
      <w:pPr>
        <w:pStyle w:val="ListParagraph"/>
        <w:numPr>
          <w:ilvl w:val="0"/>
          <w:numId w:val="2"/>
        </w:numPr>
        <w:spacing w:after="40" w:line="256" w:lineRule="auto"/>
      </w:pPr>
      <w:r>
        <w:rPr>
          <w:rFonts w:eastAsia="Calibri"/>
          <w:b/>
          <w:bCs/>
        </w:rPr>
        <w:t xml:space="preserve">Reading 1 — genuine growth. </w:t>
      </w:r>
      <w:r>
        <w:rPr>
          <w:rFonts w:eastAsia="Calibri"/>
        </w:rPr>
        <w:t xml:space="preserve">If the HBM and DRAM upcycle delivers the expected earnings jump, then ~6× forward earnings is simply price ÷ a much-bigger denominator, and the stock is reasonably priced </w:t>
      </w:r>
      <w:r w:rsidR="00D51962">
        <w:rPr>
          <w:rFonts w:eastAsia="Malgun Gothic" w:hint="eastAsia"/>
          <w:lang w:eastAsia="ko-KR"/>
        </w:rPr>
        <w:t xml:space="preserve">or </w:t>
      </w:r>
      <w:proofErr w:type="spellStart"/>
      <w:r w:rsidR="00D51962">
        <w:rPr>
          <w:rFonts w:eastAsia="Malgun Gothic" w:hint="eastAsia"/>
          <w:lang w:eastAsia="ko-KR"/>
        </w:rPr>
        <w:t>under-priced</w:t>
      </w:r>
      <w:proofErr w:type="spellEnd"/>
      <w:r w:rsidR="00D51962">
        <w:rPr>
          <w:rFonts w:eastAsia="Malgun Gothic" w:hint="eastAsia"/>
          <w:lang w:eastAsia="ko-KR"/>
        </w:rPr>
        <w:t xml:space="preserve"> </w:t>
      </w:r>
      <w:r>
        <w:rPr>
          <w:rFonts w:eastAsia="Calibri"/>
        </w:rPr>
        <w:t>on forward numbers.</w:t>
      </w:r>
    </w:p>
    <w:p w14:paraId="282AC17E" w14:textId="77777777" w:rsidR="00546EEB" w:rsidRDefault="00000000">
      <w:pPr>
        <w:pStyle w:val="ListParagraph"/>
        <w:numPr>
          <w:ilvl w:val="0"/>
          <w:numId w:val="2"/>
        </w:numPr>
        <w:spacing w:after="40" w:line="256" w:lineRule="auto"/>
      </w:pPr>
      <w:r>
        <w:rPr>
          <w:rFonts w:eastAsia="Calibri"/>
          <w:b/>
          <w:bCs/>
        </w:rPr>
        <w:t xml:space="preserve">Reading 2 — the cyclical trap. </w:t>
      </w:r>
      <w:r>
        <w:rPr>
          <w:rFonts w:eastAsia="Calibri"/>
        </w:rPr>
        <w:t xml:space="preserve">For a commodity producer, the </w:t>
      </w:r>
      <w:r>
        <w:rPr>
          <w:rFonts w:eastAsia="Calibri"/>
          <w:i/>
          <w:iCs/>
        </w:rPr>
        <w:t>lowest</w:t>
      </w:r>
      <w:r>
        <w:rPr>
          <w:rFonts w:eastAsia="Calibri"/>
        </w:rPr>
        <w:t xml:space="preserve"> P/E often appears right at the </w:t>
      </w:r>
      <w:r>
        <w:rPr>
          <w:rFonts w:eastAsia="Calibri"/>
          <w:b/>
          <w:bCs/>
        </w:rPr>
        <w:t>earnings peak</w:t>
      </w:r>
      <w:r>
        <w:rPr>
          <w:rFonts w:eastAsia="Calibri"/>
        </w:rPr>
        <w:t xml:space="preserve"> — when profits are highest and about to roll over. If the cycle turns, the optimistic forward EPS never arrives, and the “cheap” 6× multiple was a mirage.</w:t>
      </w:r>
    </w:p>
    <w:p w14:paraId="0B4DBAA5" w14:textId="77777777" w:rsidR="00546EEB" w:rsidRDefault="00000000">
      <w:pPr>
        <w:pStyle w:val="ListParagraph"/>
        <w:numPr>
          <w:ilvl w:val="1"/>
          <w:numId w:val="2"/>
        </w:numPr>
        <w:spacing w:after="40" w:line="256" w:lineRule="auto"/>
      </w:pPr>
      <w:r>
        <w:rPr>
          <w:rFonts w:eastAsia="Calibri"/>
        </w:rPr>
        <w:t xml:space="preserve">This is the mirror image of a cyclical at the </w:t>
      </w:r>
      <w:r>
        <w:rPr>
          <w:rFonts w:eastAsia="Calibri"/>
          <w:b/>
          <w:bCs/>
        </w:rPr>
        <w:t>bottom</w:t>
      </w:r>
      <w:r>
        <w:rPr>
          <w:rFonts w:eastAsia="Calibri"/>
        </w:rPr>
        <w:t>, where depressed or negative earnings make the trailing P/E look huge even though the stock may be cheap.</w:t>
      </w:r>
    </w:p>
    <w:p w14:paraId="3FFE0470" w14:textId="77777777" w:rsidR="00546EEB" w:rsidRPr="00A07D9A" w:rsidRDefault="00000000">
      <w:pPr>
        <w:pStyle w:val="ListParagraph"/>
        <w:numPr>
          <w:ilvl w:val="0"/>
          <w:numId w:val="2"/>
        </w:numPr>
        <w:spacing w:after="40" w:line="256" w:lineRule="auto"/>
      </w:pPr>
      <w:r>
        <w:rPr>
          <w:rFonts w:eastAsia="Calibri"/>
          <w:b/>
          <w:bCs/>
        </w:rPr>
        <w:t xml:space="preserve">The discipline: </w:t>
      </w:r>
      <w:r>
        <w:rPr>
          <w:rFonts w:eastAsia="Calibri"/>
        </w:rPr>
        <w:t xml:space="preserve">for cyclical firms, judge value on </w:t>
      </w:r>
      <w:r>
        <w:rPr>
          <w:rFonts w:eastAsia="Calibri"/>
          <w:b/>
          <w:bCs/>
          <w:color w:val="C00000"/>
          <w:u w:val="single"/>
        </w:rPr>
        <w:t>normalized (mid-cycle) earnings</w:t>
      </w:r>
      <w:r>
        <w:rPr>
          <w:rFonts w:eastAsia="Calibri"/>
        </w:rPr>
        <w:t>, not a single peak-year forward figure — and insist on a margin of safety (Topic 5). Always ask whether the forward estimate simply assumes the up-cycle continues.</w:t>
      </w:r>
    </w:p>
    <w:p w14:paraId="3C18A5A7" w14:textId="77777777" w:rsidR="00A07D9A" w:rsidRDefault="00A07D9A" w:rsidP="00A07D9A">
      <w:pPr>
        <w:spacing w:after="40" w:line="256" w:lineRule="auto"/>
      </w:pPr>
    </w:p>
    <w:p w14:paraId="46EA0E48" w14:textId="77777777" w:rsidR="00A07D9A" w:rsidRDefault="00A07D9A" w:rsidP="00A07D9A">
      <w:pPr>
        <w:spacing w:after="120"/>
      </w:pPr>
    </w:p>
    <w:p w14:paraId="1C32B32E" w14:textId="77777777" w:rsidR="00A07D9A" w:rsidRDefault="00A07D9A" w:rsidP="00A07D9A">
      <w:pPr>
        <w:spacing w:before="80" w:after="40"/>
      </w:pPr>
      <w:r>
        <w:rPr>
          <w:rFonts w:eastAsia="Calibri"/>
          <w:b/>
          <w:bCs/>
          <w:i/>
          <w:iCs/>
          <w:color w:val="595959"/>
          <w:sz w:val="19"/>
          <w:szCs w:val="19"/>
        </w:rPr>
        <w:t xml:space="preserve">Source note: </w:t>
      </w:r>
      <w:r>
        <w:rPr>
          <w:rFonts w:eastAsia="Calibri"/>
          <w:i/>
          <w:iCs/>
          <w:color w:val="595959"/>
          <w:sz w:val="19"/>
          <w:szCs w:val="19"/>
        </w:rPr>
        <w:t xml:space="preserve">P/E figures compiled from public market-data aggregators (e.g., stockanalysis.com, </w:t>
      </w:r>
      <w:proofErr w:type="spellStart"/>
      <w:r>
        <w:rPr>
          <w:rFonts w:eastAsia="Calibri"/>
          <w:i/>
          <w:iCs/>
          <w:color w:val="595959"/>
          <w:sz w:val="19"/>
          <w:szCs w:val="19"/>
        </w:rPr>
        <w:t>GuruFocus</w:t>
      </w:r>
      <w:proofErr w:type="spellEnd"/>
      <w:r>
        <w:rPr>
          <w:rFonts w:eastAsia="Calibri"/>
          <w:i/>
          <w:iCs/>
          <w:color w:val="595959"/>
          <w:sz w:val="19"/>
          <w:szCs w:val="19"/>
        </w:rPr>
        <w:t>, Investing.com), late June 2026. Multiples are approximate, rounded, and change daily.</w:t>
      </w:r>
    </w:p>
    <w:p w14:paraId="54782259" w14:textId="77777777" w:rsidR="00A07D9A" w:rsidRDefault="00A07D9A" w:rsidP="00A07D9A">
      <w:pPr>
        <w:spacing w:after="40" w:line="256" w:lineRule="auto"/>
      </w:pPr>
    </w:p>
    <w:p w14:paraId="222AB109" w14:textId="77777777" w:rsidR="00A07D9A" w:rsidRDefault="00A07D9A">
      <w:pPr>
        <w:rPr>
          <w:rFonts w:eastAsia="Calibri"/>
          <w:color w:val="1F3864"/>
          <w:sz w:val="27"/>
          <w:szCs w:val="27"/>
        </w:rPr>
      </w:pPr>
      <w:r>
        <w:rPr>
          <w:rFonts w:eastAsia="Calibri"/>
          <w:color w:val="1F3864"/>
          <w:sz w:val="27"/>
          <w:szCs w:val="27"/>
        </w:rPr>
        <w:br w:type="page"/>
      </w:r>
    </w:p>
    <w:p w14:paraId="0EFD14E2" w14:textId="50B3F0D3" w:rsidR="00546EEB" w:rsidRDefault="00000000">
      <w:pPr>
        <w:tabs>
          <w:tab w:val="left" w:pos="360"/>
        </w:tabs>
        <w:spacing w:before="160" w:after="80"/>
      </w:pPr>
      <w:r>
        <w:rPr>
          <w:rFonts w:eastAsia="Calibri"/>
          <w:color w:val="1F3864"/>
          <w:sz w:val="27"/>
          <w:szCs w:val="27"/>
        </w:rPr>
        <w:lastRenderedPageBreak/>
        <w:t>D.</w:t>
      </w:r>
      <w:r>
        <w:rPr>
          <w:rFonts w:eastAsia="Calibri"/>
          <w:color w:val="1F3864"/>
          <w:sz w:val="27"/>
          <w:szCs w:val="27"/>
        </w:rPr>
        <w:tab/>
        <w:t>The NVIDIA Contrast — Why the Absolute Multiples Differ</w:t>
      </w:r>
    </w:p>
    <w:p w14:paraId="1E16CD90" w14:textId="77777777" w:rsidR="00546EEB" w:rsidRDefault="00000000">
      <w:pPr>
        <w:pStyle w:val="ListParagraph"/>
        <w:numPr>
          <w:ilvl w:val="0"/>
          <w:numId w:val="2"/>
        </w:numPr>
        <w:spacing w:after="40" w:line="256" w:lineRule="auto"/>
      </w:pPr>
      <w:r>
        <w:rPr>
          <w:rFonts w:eastAsia="Calibri"/>
        </w:rPr>
        <w:t>NVIDIA also trades at a forward P/E below its trailing P/E (~32× down to ~22×), implying about +45% expected EPS growth — strong, but a far smaller step-down than SK Hynix:</w:t>
      </w:r>
    </w:p>
    <w:tbl>
      <w:tblPr>
        <w:tblW w:w="666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20"/>
      </w:tblGrid>
      <w:tr w:rsidR="00546EEB" w14:paraId="5B9181F1" w14:textId="77777777">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6BD8CE46" w14:textId="77777777" w:rsidR="00546EEB" w:rsidRDefault="00000000">
            <w:r>
              <w:rPr>
                <w:rFonts w:eastAsia="Calibri"/>
                <w:color w:val="000000"/>
              </w:rPr>
              <w:t>NVIDIA trailing P/E</w:t>
            </w:r>
          </w:p>
        </w:tc>
        <w:tc>
          <w:tcPr>
            <w:tcW w:w="162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776E3FC6" w14:textId="77777777" w:rsidR="00546EEB" w:rsidRDefault="00000000">
            <w:pPr>
              <w:jc w:val="right"/>
            </w:pPr>
            <w:r>
              <w:rPr>
                <w:rFonts w:eastAsia="Calibri"/>
                <w:color w:val="C00000"/>
              </w:rPr>
              <w:t>32×</w:t>
            </w:r>
          </w:p>
        </w:tc>
      </w:tr>
      <w:tr w:rsidR="00546EEB" w14:paraId="12ACDD9F" w14:textId="77777777">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7832F3DB" w14:textId="77777777" w:rsidR="00546EEB" w:rsidRDefault="00000000">
            <w:r>
              <w:rPr>
                <w:rFonts w:eastAsia="Calibri"/>
                <w:color w:val="000000"/>
              </w:rPr>
              <w:t>NVIDIA forward P/E</w:t>
            </w:r>
          </w:p>
        </w:tc>
        <w:tc>
          <w:tcPr>
            <w:tcW w:w="16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C21BAF" w14:textId="77777777" w:rsidR="00546EEB" w:rsidRDefault="00000000">
            <w:pPr>
              <w:jc w:val="right"/>
            </w:pPr>
            <w:r>
              <w:rPr>
                <w:rFonts w:eastAsia="Calibri"/>
                <w:color w:val="C00000"/>
              </w:rPr>
              <w:t>22×</w:t>
            </w:r>
          </w:p>
        </w:tc>
      </w:tr>
      <w:tr w:rsidR="00546EEB" w14:paraId="06BA6AB2" w14:textId="77777777" w:rsidTr="00A07D9A">
        <w:trPr>
          <w:trHeight w:val="350"/>
        </w:trPr>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0CBED676" w14:textId="410C2850" w:rsidR="00546EEB" w:rsidRPr="00A07D9A" w:rsidRDefault="00000000">
            <m:oMathPara>
              <m:oMath>
                <m:r>
                  <m:rPr>
                    <m:nor/>
                  </m:rPr>
                  <w:rPr>
                    <w:rFonts w:eastAsia="Cambria Math"/>
                    <w:color w:val="1F3864"/>
                    <w:sz w:val="20"/>
                    <w:szCs w:val="20"/>
                  </w:rPr>
                  <m:t>Implied 1-year EPS growth</m:t>
                </m:r>
                <m:r>
                  <w:rPr>
                    <w:rFonts w:ascii="Cambria Math" w:eastAsia="Cambria Math" w:hAnsi="Cambria Math"/>
                    <w:color w:val="1F3864"/>
                    <w:sz w:val="20"/>
                    <w:szCs w:val="20"/>
                  </w:rPr>
                  <m:t>=</m:t>
                </m:r>
                <m:f>
                  <m:fPr>
                    <m:ctrlPr>
                      <w:rPr>
                        <w:rFonts w:ascii="Cambria Math" w:eastAsia="Cambria Math" w:hAnsi="Cambria Math"/>
                        <w:i/>
                        <w:color w:val="1F3864"/>
                        <w:sz w:val="20"/>
                        <w:szCs w:val="20"/>
                      </w:rPr>
                    </m:ctrlPr>
                  </m:fPr>
                  <m:num>
                    <m:r>
                      <w:rPr>
                        <w:rFonts w:ascii="Cambria Math" w:eastAsia="Cambria Math" w:hAnsi="Cambria Math"/>
                        <w:color w:val="1F3864"/>
                        <w:sz w:val="20"/>
                        <w:szCs w:val="20"/>
                      </w:rPr>
                      <m:t>32</m:t>
                    </m:r>
                  </m:num>
                  <m:den>
                    <m:r>
                      <w:rPr>
                        <w:rFonts w:ascii="Cambria Math" w:eastAsia="Cambria Math" w:hAnsi="Cambria Math"/>
                        <w:color w:val="1F3864"/>
                        <w:sz w:val="20"/>
                        <w:szCs w:val="20"/>
                      </w:rPr>
                      <m:t>22</m:t>
                    </m:r>
                  </m:den>
                </m:f>
                <m:r>
                  <w:rPr>
                    <w:rFonts w:ascii="Cambria Math" w:eastAsia="Cambria Math" w:hAnsi="Cambria Math"/>
                    <w:color w:val="1F3864"/>
                    <w:sz w:val="20"/>
                    <w:szCs w:val="20"/>
                  </w:rPr>
                  <m:t>-1</m:t>
                </m:r>
              </m:oMath>
            </m:oMathPara>
          </w:p>
        </w:tc>
        <w:tc>
          <w:tcPr>
            <w:tcW w:w="1620" w:type="dxa"/>
            <w:tcBorders>
              <w:top w:val="single" w:sz="6" w:space="0" w:color="000000"/>
              <w:left w:val="none" w:sz="0" w:space="0" w:color="FFFFFF"/>
              <w:bottom w:val="single" w:sz="14" w:space="0" w:color="000000"/>
              <w:right w:val="none" w:sz="0" w:space="0" w:color="FFFFFF"/>
            </w:tcBorders>
            <w:tcMar>
              <w:top w:w="40" w:type="dxa"/>
              <w:left w:w="60" w:type="dxa"/>
              <w:bottom w:w="40" w:type="dxa"/>
              <w:right w:w="60" w:type="dxa"/>
            </w:tcMar>
          </w:tcPr>
          <w:p w14:paraId="10361B1A" w14:textId="77777777" w:rsidR="00546EEB" w:rsidRDefault="00000000">
            <w:pPr>
              <w:jc w:val="right"/>
            </w:pPr>
            <w:r>
              <w:rPr>
                <w:rFonts w:eastAsia="Calibri"/>
                <w:b/>
                <w:bCs/>
                <w:color w:val="C00000"/>
              </w:rPr>
              <w:t>+45%</w:t>
            </w:r>
          </w:p>
        </w:tc>
      </w:tr>
    </w:tbl>
    <w:p w14:paraId="389BF59F" w14:textId="77777777" w:rsidR="00546EEB" w:rsidRDefault="00546EEB">
      <w:pPr>
        <w:spacing w:after="60"/>
      </w:pPr>
    </w:p>
    <w:p w14:paraId="522AAF20" w14:textId="77777777" w:rsidR="00546EEB" w:rsidRDefault="00000000">
      <w:pPr>
        <w:pStyle w:val="ListParagraph"/>
        <w:numPr>
          <w:ilvl w:val="0"/>
          <w:numId w:val="2"/>
        </w:numPr>
        <w:spacing w:after="40" w:line="256" w:lineRule="auto"/>
      </w:pPr>
      <w:r>
        <w:rPr>
          <w:rFonts w:eastAsia="Calibri"/>
        </w:rPr>
        <w:t xml:space="preserve">The more striking difference is the </w:t>
      </w:r>
      <w:r>
        <w:rPr>
          <w:rFonts w:eastAsia="Calibri"/>
          <w:b/>
          <w:bCs/>
        </w:rPr>
        <w:t>absolute</w:t>
      </w:r>
      <w:r>
        <w:rPr>
          <w:rFonts w:eastAsia="Calibri"/>
        </w:rPr>
        <w:t xml:space="preserve"> level: the market pays ~22× next year’s earnings for NVIDIA but only ~6× for SK Hynix. Why nearly four times as much for a dollar of NVIDIA’s forward earnings?</w:t>
      </w:r>
    </w:p>
    <w:p w14:paraId="4A8D3AB6" w14:textId="77777777" w:rsidR="00546EEB" w:rsidRDefault="00000000">
      <w:pPr>
        <w:pStyle w:val="ListParagraph"/>
        <w:numPr>
          <w:ilvl w:val="0"/>
          <w:numId w:val="2"/>
        </w:numPr>
        <w:spacing w:after="40" w:line="256" w:lineRule="auto"/>
      </w:pPr>
      <w:r>
        <w:rPr>
          <w:rFonts w:eastAsia="Calibri"/>
          <w:b/>
          <w:bCs/>
          <w:color w:val="C00000"/>
          <w:u w:val="single"/>
        </w:rPr>
        <w:t>Earnings quality and durability</w:t>
      </w:r>
      <w:r>
        <w:rPr>
          <w:rFonts w:eastAsia="Calibri"/>
        </w:rPr>
        <w:t>. NVIDIA is a design-and-software franchise — roughly 75% gross margins, a software ecosystem moat, and real pricing power — so its earnings are seen as more sustainable and less commodity-cyclical. SK Hynix sells a more commoditized product whose pricing is set by the memory cycle, so its profits are more volatile and viewed as less durable.</w:t>
      </w:r>
    </w:p>
    <w:p w14:paraId="27123B06" w14:textId="169C91D5" w:rsidR="00546EEB" w:rsidRDefault="00000000">
      <w:pPr>
        <w:pStyle w:val="ListParagraph"/>
        <w:numPr>
          <w:ilvl w:val="0"/>
          <w:numId w:val="2"/>
        </w:numPr>
        <w:spacing w:after="40" w:line="256" w:lineRule="auto"/>
      </w:pPr>
      <w:r>
        <w:rPr>
          <w:rFonts w:eastAsia="Calibri"/>
          <w:b/>
          <w:bCs/>
        </w:rPr>
        <w:t xml:space="preserve">The lesson in one line: </w:t>
      </w:r>
      <w:r>
        <w:rPr>
          <w:rFonts w:eastAsia="Calibri"/>
        </w:rPr>
        <w:t xml:space="preserve">the </w:t>
      </w:r>
      <w:r>
        <w:rPr>
          <w:rFonts w:eastAsia="Calibri"/>
          <w:b/>
          <w:bCs/>
        </w:rPr>
        <w:t>gap</w:t>
      </w:r>
      <w:r>
        <w:rPr>
          <w:rFonts w:eastAsia="Calibri"/>
        </w:rPr>
        <w:t xml:space="preserve"> between trailing and forward P/E reflects the expected near-term growth </w:t>
      </w:r>
      <w:r>
        <w:rPr>
          <w:rFonts w:eastAsia="Calibri"/>
          <w:i/>
          <w:iCs/>
        </w:rPr>
        <w:t>rate</w:t>
      </w:r>
      <w:r>
        <w:rPr>
          <w:rFonts w:eastAsia="Calibri"/>
        </w:rPr>
        <w:t xml:space="preserve">; the </w:t>
      </w:r>
      <w:r>
        <w:rPr>
          <w:rFonts w:eastAsia="Calibri"/>
          <w:b/>
          <w:bCs/>
        </w:rPr>
        <w:t>absolute</w:t>
      </w:r>
      <w:r>
        <w:rPr>
          <w:rFonts w:eastAsia="Calibri"/>
        </w:rPr>
        <w:t xml:space="preserve"> multiple reflects the market’s view of earnings </w:t>
      </w:r>
      <w:r>
        <w:rPr>
          <w:rFonts w:eastAsia="Calibri"/>
          <w:i/>
          <w:iCs/>
        </w:rPr>
        <w:t>quality</w:t>
      </w:r>
      <w:r>
        <w:rPr>
          <w:rFonts w:eastAsia="Calibri"/>
        </w:rPr>
        <w:t>, durability, and risk. Two AI winners, very different multiples.</w:t>
      </w:r>
    </w:p>
    <w:p w14:paraId="016F2608" w14:textId="77777777" w:rsidR="00546EEB" w:rsidRDefault="00546EEB">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089085ED"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2012B402" w14:textId="4CD50C7D" w:rsidR="00546EEB" w:rsidRDefault="00000000">
            <w:pPr>
              <w:spacing w:line="264" w:lineRule="auto"/>
            </w:pPr>
            <w:r>
              <w:rPr>
                <w:rFonts w:eastAsia="Calibri"/>
                <w:b/>
                <w:bCs/>
                <w:color w:val="7F6000"/>
              </w:rPr>
              <w:t xml:space="preserve">Key Takeaway:  </w:t>
            </w:r>
            <w:r>
              <w:rPr>
                <w:rFonts w:eastAsia="Calibri"/>
              </w:rPr>
              <w:t xml:space="preserve">A forward </w:t>
            </w:r>
            <w:r w:rsidR="00A07D9A">
              <w:rPr>
                <w:rFonts w:eastAsia="Malgun Gothic" w:hint="eastAsia"/>
                <w:lang w:eastAsia="ko-KR"/>
              </w:rPr>
              <w:t xml:space="preserve">and the trailing </w:t>
            </w:r>
            <w:r>
              <w:rPr>
                <w:rFonts w:eastAsia="Calibri"/>
              </w:rPr>
              <w:t>P/E below means the market expects earnings to grow — and the wider the gap, the faster the expected growth. But for a cyclical like SK Hynix, an unusually low forward multiple may signal either a real earnings surge or peak-cycle over-optimism, so confirm it against normalized earnings and a margin of safety. The absolute multiple (~6× vs. ~22×) reflects earnings quality, not just growth.</w:t>
            </w:r>
          </w:p>
        </w:tc>
      </w:tr>
    </w:tbl>
    <w:p w14:paraId="2B6E81DE" w14:textId="77777777" w:rsidR="00546EEB" w:rsidRDefault="00546EEB">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681C9991"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4978FCA6" w14:textId="09C97100" w:rsidR="00546EEB" w:rsidRDefault="00000000">
            <w:pPr>
              <w:spacing w:after="80"/>
            </w:pPr>
            <w:r>
              <w:rPr>
                <w:rFonts w:eastAsia="Calibri"/>
                <w:b/>
                <w:bCs/>
              </w:rPr>
              <w:t>Concept Quiz #</w:t>
            </w:r>
            <w:r w:rsidR="00C170E7">
              <w:rPr>
                <w:rFonts w:eastAsia="Calibri"/>
                <w:b/>
                <w:bCs/>
              </w:rPr>
              <w:t>4</w:t>
            </w:r>
            <w:r>
              <w:rPr>
                <w:rFonts w:eastAsia="Calibri"/>
                <w:b/>
                <w:bCs/>
              </w:rPr>
              <w:t>A</w:t>
            </w:r>
          </w:p>
          <w:p w14:paraId="41814A14" w14:textId="77777777" w:rsidR="00546EEB" w:rsidRDefault="00000000">
            <w:pPr>
              <w:tabs>
                <w:tab w:val="left" w:pos="432"/>
              </w:tabs>
              <w:spacing w:before="120" w:after="30"/>
              <w:ind w:left="432" w:hanging="288"/>
            </w:pPr>
            <w:r>
              <w:rPr>
                <w:rFonts w:eastAsia="Calibri"/>
              </w:rPr>
              <w:t>1.</w:t>
            </w:r>
            <w:r>
              <w:rPr>
                <w:rFonts w:eastAsia="Calibri"/>
              </w:rPr>
              <w:tab/>
              <w:t>If a company’s forward P/E is below its trailing P/E, the market is most likely expecting its earnings over the next year to:</w:t>
            </w:r>
          </w:p>
          <w:p w14:paraId="6128383F" w14:textId="70697076" w:rsidR="00546EEB" w:rsidRDefault="00000000">
            <w:pPr>
              <w:tabs>
                <w:tab w:val="left" w:pos="792"/>
              </w:tabs>
              <w:spacing w:after="14"/>
              <w:ind w:left="792" w:hanging="288"/>
            </w:pPr>
            <w:r>
              <w:rPr>
                <w:rFonts w:eastAsia="Calibri"/>
              </w:rPr>
              <w:t>a.</w:t>
            </w:r>
            <w:r>
              <w:rPr>
                <w:rFonts w:eastAsia="Calibri"/>
              </w:rPr>
              <w:tab/>
              <w:t>rise</w:t>
            </w:r>
            <w:r w:rsidR="00A07D9A">
              <w:rPr>
                <w:rFonts w:eastAsia="Malgun Gothic" w:hint="eastAsia"/>
                <w:lang w:eastAsia="ko-KR"/>
              </w:rPr>
              <w:t xml:space="preserve">                                           </w:t>
            </w:r>
            <w:r>
              <w:rPr>
                <w:rFonts w:eastAsia="Calibri"/>
              </w:rPr>
              <w:t>b.</w:t>
            </w:r>
            <w:r>
              <w:rPr>
                <w:rFonts w:eastAsia="Calibri"/>
              </w:rPr>
              <w:tab/>
              <w:t>fall</w:t>
            </w:r>
          </w:p>
          <w:p w14:paraId="078D78AE" w14:textId="79AFBD9D" w:rsidR="00546EEB" w:rsidRDefault="00000000">
            <w:pPr>
              <w:tabs>
                <w:tab w:val="left" w:pos="792"/>
              </w:tabs>
              <w:spacing w:after="14"/>
              <w:ind w:left="792" w:hanging="288"/>
            </w:pPr>
            <w:r>
              <w:rPr>
                <w:rFonts w:eastAsia="Calibri"/>
              </w:rPr>
              <w:t>c.</w:t>
            </w:r>
            <w:r>
              <w:rPr>
                <w:rFonts w:eastAsia="Calibri"/>
              </w:rPr>
              <w:tab/>
              <w:t>stay flat</w:t>
            </w:r>
            <w:r w:rsidR="00A07D9A">
              <w:rPr>
                <w:rFonts w:eastAsia="Malgun Gothic" w:hint="eastAsia"/>
                <w:lang w:eastAsia="ko-KR"/>
              </w:rPr>
              <w:t xml:space="preserve">                                   </w:t>
            </w:r>
            <w:r>
              <w:rPr>
                <w:rFonts w:eastAsia="Calibri"/>
              </w:rPr>
              <w:t>d.</w:t>
            </w:r>
            <w:r>
              <w:rPr>
                <w:rFonts w:eastAsia="Calibri"/>
              </w:rPr>
              <w:tab/>
              <w:t>become negative</w:t>
            </w:r>
          </w:p>
          <w:p w14:paraId="595B5E29" w14:textId="77777777" w:rsidR="00546EEB" w:rsidRDefault="00000000">
            <w:pPr>
              <w:tabs>
                <w:tab w:val="left" w:pos="432"/>
              </w:tabs>
              <w:spacing w:before="120" w:after="30"/>
              <w:ind w:left="432" w:hanging="288"/>
            </w:pPr>
            <w:r>
              <w:rPr>
                <w:rFonts w:eastAsia="Calibri"/>
              </w:rPr>
              <w:t>2.</w:t>
            </w:r>
            <w:r>
              <w:rPr>
                <w:rFonts w:eastAsia="Calibri"/>
              </w:rPr>
              <w:tab/>
              <w:t>SK Hynix trades at roughly 17× trailing and 6× forward earnings. The implied one-year EPS growth is closest to:</w:t>
            </w:r>
          </w:p>
          <w:p w14:paraId="04DCEFD5" w14:textId="4929C7C5" w:rsidR="00546EEB" w:rsidRDefault="00000000">
            <w:pPr>
              <w:tabs>
                <w:tab w:val="left" w:pos="792"/>
              </w:tabs>
              <w:spacing w:after="14"/>
              <w:ind w:left="792" w:hanging="288"/>
            </w:pPr>
            <w:r>
              <w:rPr>
                <w:rFonts w:eastAsia="Calibri"/>
              </w:rPr>
              <w:t>a.</w:t>
            </w:r>
            <w:r>
              <w:rPr>
                <w:rFonts w:eastAsia="Calibri"/>
              </w:rPr>
              <w:tab/>
              <w:t>−65%</w:t>
            </w:r>
            <w:r w:rsidR="00A07D9A">
              <w:rPr>
                <w:rFonts w:eastAsia="Malgun Gothic" w:hint="eastAsia"/>
                <w:lang w:eastAsia="ko-KR"/>
              </w:rPr>
              <w:t xml:space="preserve">                                        </w:t>
            </w:r>
            <w:r>
              <w:rPr>
                <w:rFonts w:eastAsia="Calibri"/>
              </w:rPr>
              <w:t>b.</w:t>
            </w:r>
            <w:r>
              <w:rPr>
                <w:rFonts w:eastAsia="Calibri"/>
              </w:rPr>
              <w:tab/>
              <w:t>+35%</w:t>
            </w:r>
          </w:p>
          <w:p w14:paraId="569F88CD" w14:textId="14FDF647" w:rsidR="00546EEB" w:rsidRDefault="00000000">
            <w:pPr>
              <w:tabs>
                <w:tab w:val="left" w:pos="792"/>
              </w:tabs>
              <w:spacing w:after="14"/>
              <w:ind w:left="792" w:hanging="288"/>
            </w:pPr>
            <w:r>
              <w:rPr>
                <w:rFonts w:eastAsia="Calibri"/>
              </w:rPr>
              <w:t>c.</w:t>
            </w:r>
            <w:r>
              <w:rPr>
                <w:rFonts w:eastAsia="Calibri"/>
              </w:rPr>
              <w:tab/>
              <w:t>+95%</w:t>
            </w:r>
            <w:r w:rsidR="00A07D9A">
              <w:rPr>
                <w:rFonts w:eastAsia="Malgun Gothic" w:hint="eastAsia"/>
                <w:lang w:eastAsia="ko-KR"/>
              </w:rPr>
              <w:t xml:space="preserve">                                        </w:t>
            </w:r>
            <w:r>
              <w:rPr>
                <w:rFonts w:eastAsia="Calibri"/>
              </w:rPr>
              <w:t>d.</w:t>
            </w:r>
            <w:r>
              <w:rPr>
                <w:rFonts w:eastAsia="Calibri"/>
              </w:rPr>
              <w:tab/>
              <w:t>+185%</w:t>
            </w:r>
          </w:p>
          <w:p w14:paraId="41500999" w14:textId="77777777" w:rsidR="00546EEB" w:rsidRDefault="00000000">
            <w:pPr>
              <w:tabs>
                <w:tab w:val="left" w:pos="432"/>
              </w:tabs>
              <w:spacing w:before="120" w:after="30"/>
              <w:ind w:left="432" w:hanging="288"/>
            </w:pPr>
            <w:r>
              <w:rPr>
                <w:rFonts w:eastAsia="Calibri"/>
              </w:rPr>
              <w:t>3.</w:t>
            </w:r>
            <w:r>
              <w:rPr>
                <w:rFonts w:eastAsia="Calibri"/>
              </w:rPr>
              <w:tab/>
              <w:t>NVIDIA’s forward P/E (~22×) is far higher than SK Hynix’s (~6×), though both benefit from AI demand. The best single explanation is that:</w:t>
            </w:r>
          </w:p>
          <w:p w14:paraId="368D065A" w14:textId="77777777" w:rsidR="00546EEB" w:rsidRDefault="00000000">
            <w:pPr>
              <w:tabs>
                <w:tab w:val="left" w:pos="792"/>
              </w:tabs>
              <w:spacing w:after="14"/>
              <w:ind w:left="792" w:hanging="288"/>
            </w:pPr>
            <w:r>
              <w:rPr>
                <w:rFonts w:eastAsia="Calibri"/>
              </w:rPr>
              <w:t>a.</w:t>
            </w:r>
            <w:r>
              <w:rPr>
                <w:rFonts w:eastAsia="Calibri"/>
              </w:rPr>
              <w:tab/>
              <w:t>NVIDIA’s earnings are viewed as more durable and less cyclical</w:t>
            </w:r>
          </w:p>
          <w:p w14:paraId="5B398761" w14:textId="77777777" w:rsidR="00546EEB" w:rsidRDefault="00000000">
            <w:pPr>
              <w:tabs>
                <w:tab w:val="left" w:pos="792"/>
              </w:tabs>
              <w:spacing w:after="14"/>
              <w:ind w:left="792" w:hanging="288"/>
            </w:pPr>
            <w:r>
              <w:rPr>
                <w:rFonts w:eastAsia="Calibri"/>
              </w:rPr>
              <w:t>b.</w:t>
            </w:r>
            <w:r>
              <w:rPr>
                <w:rFonts w:eastAsia="Calibri"/>
              </w:rPr>
              <w:tab/>
              <w:t>SK Hynix is unprofitable</w:t>
            </w:r>
          </w:p>
          <w:p w14:paraId="490B8887" w14:textId="77777777" w:rsidR="00546EEB" w:rsidRDefault="00000000">
            <w:pPr>
              <w:tabs>
                <w:tab w:val="left" w:pos="792"/>
              </w:tabs>
              <w:spacing w:after="14"/>
              <w:ind w:left="792" w:hanging="288"/>
            </w:pPr>
            <w:r>
              <w:rPr>
                <w:rFonts w:eastAsia="Calibri"/>
              </w:rPr>
              <w:t>c.</w:t>
            </w:r>
            <w:r>
              <w:rPr>
                <w:rFonts w:eastAsia="Calibri"/>
              </w:rPr>
              <w:tab/>
              <w:t>NVIDIA pays no dividend</w:t>
            </w:r>
          </w:p>
          <w:p w14:paraId="5A817949" w14:textId="77777777" w:rsidR="00546EEB" w:rsidRDefault="00000000">
            <w:pPr>
              <w:tabs>
                <w:tab w:val="left" w:pos="792"/>
              </w:tabs>
              <w:spacing w:after="14"/>
              <w:ind w:left="792" w:hanging="288"/>
            </w:pPr>
            <w:r>
              <w:rPr>
                <w:rFonts w:eastAsia="Calibri"/>
              </w:rPr>
              <w:t>d.</w:t>
            </w:r>
            <w:r>
              <w:rPr>
                <w:rFonts w:eastAsia="Calibri"/>
              </w:rPr>
              <w:tab/>
              <w:t>SK Hynix has fewer shares outstanding</w:t>
            </w:r>
          </w:p>
          <w:p w14:paraId="3416C1FB" w14:textId="55B6B932" w:rsidR="00546EEB" w:rsidRPr="00A07D9A" w:rsidRDefault="00546EEB">
            <w:pPr>
              <w:spacing w:before="120" w:after="20"/>
              <w:rPr>
                <w:rFonts w:eastAsia="Malgun Gothic"/>
                <w:lang w:eastAsia="ko-KR"/>
              </w:rPr>
            </w:pPr>
          </w:p>
        </w:tc>
      </w:tr>
    </w:tbl>
    <w:p w14:paraId="489B03AC" w14:textId="4D1699E7" w:rsidR="00546EEB" w:rsidRDefault="00000000" w:rsidP="00C91610">
      <w:pPr>
        <w:pStyle w:val="Heading1"/>
        <w:tabs>
          <w:tab w:val="left" w:pos="810"/>
        </w:tabs>
      </w:pPr>
      <w:bookmarkStart w:id="5" w:name="_Toc235219226"/>
      <w:r>
        <w:lastRenderedPageBreak/>
        <w:t xml:space="preserve">Topic </w:t>
      </w:r>
      <w:r w:rsidR="000F11EA">
        <w:t>5</w:t>
      </w:r>
      <w:r>
        <w:t>:</w:t>
      </w:r>
      <w:r>
        <w:tab/>
        <w:t>The Margin of Safety</w:t>
      </w:r>
      <w:bookmarkEnd w:id="5"/>
    </w:p>
    <w:p w14:paraId="7DE8B526" w14:textId="77777777" w:rsidR="00546EEB" w:rsidRDefault="00000000">
      <w:pPr>
        <w:pStyle w:val="ListParagraph"/>
        <w:numPr>
          <w:ilvl w:val="0"/>
          <w:numId w:val="2"/>
        </w:numPr>
        <w:spacing w:after="40" w:line="256" w:lineRule="auto"/>
      </w:pPr>
      <w:r>
        <w:rPr>
          <w:rFonts w:eastAsia="Calibri"/>
        </w:rPr>
        <w:t xml:space="preserve">If Mr. Market explains </w:t>
      </w:r>
      <w:r>
        <w:rPr>
          <w:rFonts w:eastAsia="Calibri"/>
          <w:i/>
          <w:iCs/>
        </w:rPr>
        <w:t>why</w:t>
      </w:r>
      <w:r>
        <w:rPr>
          <w:rFonts w:eastAsia="Calibri"/>
        </w:rPr>
        <w:t xml:space="preserve"> price and value diverge, the </w:t>
      </w:r>
      <w:r>
        <w:rPr>
          <w:rFonts w:eastAsia="Calibri"/>
          <w:b/>
          <w:bCs/>
          <w:color w:val="C00000"/>
          <w:u w:val="single"/>
        </w:rPr>
        <w:t>margin of safety</w:t>
      </w:r>
      <w:r>
        <w:rPr>
          <w:rFonts w:eastAsia="Calibri"/>
        </w:rPr>
        <w:t xml:space="preserve"> tells you what to </w:t>
      </w:r>
      <w:r>
        <w:rPr>
          <w:rFonts w:eastAsia="Calibri"/>
          <w:i/>
          <w:iCs/>
        </w:rPr>
        <w:t>do</w:t>
      </w:r>
      <w:r>
        <w:rPr>
          <w:rFonts w:eastAsia="Calibri"/>
        </w:rPr>
        <w:t xml:space="preserve"> about it. Graham argued these three words best capture sound investing.</w:t>
      </w:r>
    </w:p>
    <w:p w14:paraId="637A6093" w14:textId="77777777" w:rsidR="00546EEB" w:rsidRDefault="00000000">
      <w:pPr>
        <w:pStyle w:val="ListParagraph"/>
        <w:numPr>
          <w:ilvl w:val="0"/>
          <w:numId w:val="2"/>
        </w:numPr>
        <w:spacing w:after="40" w:line="256" w:lineRule="auto"/>
      </w:pPr>
      <w:r>
        <w:rPr>
          <w:rFonts w:eastAsia="Calibri"/>
          <w:b/>
          <w:bCs/>
        </w:rPr>
        <w:t>Definition</w:t>
      </w:r>
      <w:r>
        <w:rPr>
          <w:rFonts w:eastAsia="Calibri"/>
        </w:rPr>
        <w:t xml:space="preserve"> — the margin of safety is the discount of purchase price to estimated intrinsic value. You buy a dollar of value for materially less than a dollar:</w:t>
      </w:r>
    </w:p>
    <w:p w14:paraId="68D7C549" w14:textId="77777777" w:rsidR="00546EEB" w:rsidRPr="00007A1B" w:rsidRDefault="00000000">
      <w:pPr>
        <w:spacing w:before="70" w:after="90"/>
        <w:jc w:val="center"/>
        <w:rPr>
          <w:sz w:val="18"/>
          <w:szCs w:val="18"/>
        </w:rPr>
      </w:pPr>
      <m:oMathPara>
        <m:oMath>
          <m:r>
            <m:rPr>
              <m:nor/>
            </m:rPr>
            <w:rPr>
              <w:rFonts w:ascii="Cambria Math" w:eastAsia="Cambria Math" w:hAnsi="Cambria Math" w:cs="Cambria Math"/>
              <w:i/>
              <w:color w:val="000000"/>
              <w:sz w:val="21"/>
              <w:szCs w:val="21"/>
            </w:rPr>
            <m:t>Margin of Safety</m:t>
          </m:r>
          <m:r>
            <w:rPr>
              <w:rFonts w:ascii="Cambria Math" w:eastAsia="Cambria Math" w:hAnsi="Cambria Math" w:cs="Cambria Math"/>
              <w:color w:val="000000"/>
              <w:sz w:val="21"/>
              <w:szCs w:val="21"/>
            </w:rPr>
            <m:t>=</m:t>
          </m:r>
          <m:f>
            <m:fPr>
              <m:ctrlPr>
                <w:rPr>
                  <w:rFonts w:ascii="Cambria Math" w:eastAsia="Cambria Math" w:hAnsi="Cambria Math" w:cs="Cambria Math"/>
                  <w:i/>
                  <w:color w:val="000000"/>
                  <w:sz w:val="21"/>
                  <w:szCs w:val="21"/>
                </w:rPr>
              </m:ctrlPr>
            </m:fPr>
            <m:num>
              <m:r>
                <m:rPr>
                  <m:nor/>
                </m:rPr>
                <w:rPr>
                  <w:rFonts w:ascii="Cambria Math" w:eastAsia="Cambria Math" w:hAnsi="Cambria Math" w:cs="Cambria Math"/>
                  <w:i/>
                  <w:color w:val="000000"/>
                  <w:sz w:val="21"/>
                  <w:szCs w:val="21"/>
                </w:rPr>
                <m:t>Intrinsic Value</m:t>
              </m:r>
              <m:r>
                <w:rPr>
                  <w:rFonts w:ascii="Cambria Math" w:eastAsia="Cambria Math" w:hAnsi="Cambria Math" w:cs="Cambria Math"/>
                  <w:color w:val="000000"/>
                  <w:sz w:val="21"/>
                  <w:szCs w:val="21"/>
                </w:rPr>
                <m:t>-</m:t>
              </m:r>
              <m:r>
                <m:rPr>
                  <m:nor/>
                </m:rPr>
                <w:rPr>
                  <w:rFonts w:ascii="Cambria Math" w:eastAsia="Cambria Math" w:hAnsi="Cambria Math" w:cs="Cambria Math"/>
                  <w:i/>
                  <w:color w:val="000000"/>
                  <w:sz w:val="21"/>
                  <w:szCs w:val="21"/>
                </w:rPr>
                <m:t>Market Price</m:t>
              </m:r>
            </m:num>
            <m:den>
              <m:r>
                <m:rPr>
                  <m:nor/>
                </m:rPr>
                <w:rPr>
                  <w:rFonts w:ascii="Cambria Math" w:eastAsia="Cambria Math" w:hAnsi="Cambria Math" w:cs="Cambria Math"/>
                  <w:i/>
                  <w:color w:val="000000"/>
                  <w:sz w:val="21"/>
                  <w:szCs w:val="21"/>
                </w:rPr>
                <m:t>Intrinsic Value</m:t>
              </m:r>
            </m:den>
          </m:f>
        </m:oMath>
      </m:oMathPara>
    </w:p>
    <w:p w14:paraId="38B87236" w14:textId="77777777" w:rsidR="00546EEB" w:rsidRDefault="00000000">
      <w:pPr>
        <w:pStyle w:val="ListParagraph"/>
        <w:numPr>
          <w:ilvl w:val="0"/>
          <w:numId w:val="2"/>
        </w:numPr>
        <w:spacing w:after="40" w:line="256" w:lineRule="auto"/>
      </w:pPr>
      <w:r>
        <w:rPr>
          <w:rFonts w:eastAsia="Calibri"/>
        </w:rPr>
        <w:t>Its purpose is humility about error. Your valuation will be wrong to some degree — forecasts miss, discount rates are imprecise. Buying well below value gives you room to be wrong and still not lose money.</w:t>
      </w:r>
    </w:p>
    <w:p w14:paraId="170262A7" w14:textId="77777777" w:rsidR="00546EEB" w:rsidRDefault="00000000">
      <w:pPr>
        <w:tabs>
          <w:tab w:val="left" w:pos="360"/>
        </w:tabs>
        <w:spacing w:before="160" w:after="80"/>
      </w:pPr>
      <w:r>
        <w:rPr>
          <w:rFonts w:eastAsia="Calibri"/>
          <w:color w:val="1F3864"/>
          <w:sz w:val="27"/>
          <w:szCs w:val="27"/>
        </w:rPr>
        <w:t>A.</w:t>
      </w:r>
      <w:r>
        <w:rPr>
          <w:rFonts w:eastAsia="Calibri"/>
          <w:color w:val="1F3864"/>
          <w:sz w:val="27"/>
          <w:szCs w:val="27"/>
        </w:rPr>
        <w:tab/>
        <w:t>A Worked Example</w:t>
      </w:r>
    </w:p>
    <w:p w14:paraId="518F5CC2" w14:textId="2F6AE62D" w:rsidR="00546EEB" w:rsidRDefault="00000000">
      <w:pPr>
        <w:pStyle w:val="ListParagraph"/>
        <w:numPr>
          <w:ilvl w:val="0"/>
          <w:numId w:val="2"/>
        </w:numPr>
        <w:spacing w:after="40" w:line="256" w:lineRule="auto"/>
      </w:pPr>
      <w:r>
        <w:rPr>
          <w:rFonts w:eastAsia="Calibri"/>
        </w:rPr>
        <w:t xml:space="preserve">Suppose your DCF (Topic </w:t>
      </w:r>
      <w:r w:rsidR="000835AD">
        <w:rPr>
          <w:rFonts w:eastAsia="Calibri"/>
        </w:rPr>
        <w:t>4</w:t>
      </w:r>
      <w:r>
        <w:rPr>
          <w:rFonts w:eastAsia="Calibri"/>
        </w:rPr>
        <w:t>) estimates a stock’s intrinsic value at $100 per share, and Mr. Market is quoting $65:</w:t>
      </w:r>
    </w:p>
    <w:tbl>
      <w:tblPr>
        <w:tblW w:w="6660" w:type="dxa"/>
        <w:tblInd w:w="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20"/>
      </w:tblGrid>
      <w:tr w:rsidR="00546EEB" w14:paraId="797DCFA3" w14:textId="77777777">
        <w:tc>
          <w:tcPr>
            <w:tcW w:w="5040" w:type="dxa"/>
            <w:tcBorders>
              <w:top w:val="single" w:sz="14" w:space="0" w:color="000000"/>
              <w:left w:val="none" w:sz="0" w:space="0" w:color="FFFFFF"/>
              <w:bottom w:val="none" w:sz="0" w:space="0" w:color="FFFFFF"/>
              <w:right w:val="none" w:sz="0" w:space="0" w:color="FFFFFF"/>
            </w:tcBorders>
            <w:tcMar>
              <w:top w:w="40" w:type="dxa"/>
              <w:left w:w="60" w:type="dxa"/>
              <w:bottom w:w="40" w:type="dxa"/>
              <w:right w:w="80" w:type="dxa"/>
            </w:tcMar>
          </w:tcPr>
          <w:p w14:paraId="03E6723F" w14:textId="77777777" w:rsidR="00546EEB" w:rsidRDefault="00000000">
            <w:r>
              <w:rPr>
                <w:rFonts w:eastAsia="Calibri"/>
                <w:color w:val="000000"/>
              </w:rPr>
              <w:t>Intrinsic value (your DCF estimate)</w:t>
            </w:r>
          </w:p>
        </w:tc>
        <w:tc>
          <w:tcPr>
            <w:tcW w:w="1620" w:type="dxa"/>
            <w:tcBorders>
              <w:top w:val="single" w:sz="14" w:space="0" w:color="000000"/>
              <w:left w:val="none" w:sz="0" w:space="0" w:color="FFFFFF"/>
              <w:bottom w:val="none" w:sz="0" w:space="0" w:color="FFFFFF"/>
              <w:right w:val="none" w:sz="0" w:space="0" w:color="FFFFFF"/>
            </w:tcBorders>
            <w:tcMar>
              <w:top w:w="40" w:type="dxa"/>
              <w:left w:w="60" w:type="dxa"/>
              <w:bottom w:w="40" w:type="dxa"/>
              <w:right w:w="60" w:type="dxa"/>
            </w:tcMar>
          </w:tcPr>
          <w:p w14:paraId="3AB9805A" w14:textId="77777777" w:rsidR="00546EEB" w:rsidRDefault="00000000">
            <w:pPr>
              <w:jc w:val="right"/>
            </w:pPr>
            <w:r>
              <w:rPr>
                <w:rFonts w:eastAsia="Calibri"/>
                <w:color w:val="C00000"/>
              </w:rPr>
              <w:t>$100.00</w:t>
            </w:r>
          </w:p>
        </w:tc>
      </w:tr>
      <w:tr w:rsidR="00546EEB" w14:paraId="14C1615E" w14:textId="77777777">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6A93A356" w14:textId="77777777" w:rsidR="00546EEB" w:rsidRDefault="00000000">
            <w:r>
              <w:rPr>
                <w:rFonts w:eastAsia="Calibri"/>
                <w:color w:val="000000"/>
              </w:rPr>
              <w:t>Market price (Mr. Market’s quote)</w:t>
            </w:r>
          </w:p>
        </w:tc>
        <w:tc>
          <w:tcPr>
            <w:tcW w:w="16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EE15A6" w14:textId="77777777" w:rsidR="00546EEB" w:rsidRDefault="00000000">
            <w:pPr>
              <w:jc w:val="right"/>
            </w:pPr>
            <w:r>
              <w:rPr>
                <w:rFonts w:eastAsia="Calibri"/>
                <w:color w:val="C00000"/>
              </w:rPr>
              <w:t>$  65.00</w:t>
            </w:r>
          </w:p>
        </w:tc>
      </w:tr>
      <w:tr w:rsidR="00546EEB" w14:paraId="3A65EC27" w14:textId="77777777">
        <w:tc>
          <w:tcPr>
            <w:tcW w:w="5040" w:type="dxa"/>
            <w:tcBorders>
              <w:top w:val="none" w:sz="0" w:space="0" w:color="FFFFFF"/>
              <w:left w:val="none" w:sz="0" w:space="0" w:color="FFFFFF"/>
              <w:bottom w:val="none" w:sz="0" w:space="0" w:color="FFFFFF"/>
              <w:right w:val="none" w:sz="0" w:space="0" w:color="FFFFFF"/>
            </w:tcBorders>
            <w:tcMar>
              <w:top w:w="40" w:type="dxa"/>
              <w:left w:w="60" w:type="dxa"/>
              <w:bottom w:w="40" w:type="dxa"/>
              <w:right w:w="80" w:type="dxa"/>
            </w:tcMar>
          </w:tcPr>
          <w:p w14:paraId="59C10161" w14:textId="77777777" w:rsidR="00546EEB" w:rsidRDefault="00000000">
            <w:r>
              <w:rPr>
                <w:rFonts w:eastAsia="Calibri"/>
                <w:color w:val="000000"/>
              </w:rPr>
              <w:t>Margin of safety (in dollars)</w:t>
            </w:r>
          </w:p>
        </w:tc>
        <w:tc>
          <w:tcPr>
            <w:tcW w:w="1620" w:type="dxa"/>
            <w:tcBorders>
              <w:top w:val="single" w:sz="6" w:space="0" w:color="000000"/>
              <w:left w:val="none" w:sz="0" w:space="0" w:color="FFFFFF"/>
              <w:bottom w:val="none" w:sz="0" w:space="0" w:color="FFFFFF"/>
              <w:right w:val="none" w:sz="0" w:space="0" w:color="FFFFFF"/>
            </w:tcBorders>
            <w:tcMar>
              <w:top w:w="40" w:type="dxa"/>
              <w:left w:w="60" w:type="dxa"/>
              <w:bottom w:w="40" w:type="dxa"/>
              <w:right w:w="60" w:type="dxa"/>
            </w:tcMar>
          </w:tcPr>
          <w:p w14:paraId="5C5EC2D9" w14:textId="77777777" w:rsidR="00546EEB" w:rsidRDefault="00000000">
            <w:pPr>
              <w:jc w:val="right"/>
            </w:pPr>
            <w:r>
              <w:rPr>
                <w:rFonts w:eastAsia="Calibri"/>
                <w:color w:val="C00000"/>
              </w:rPr>
              <w:t>$  35.00</w:t>
            </w:r>
          </w:p>
        </w:tc>
      </w:tr>
      <w:tr w:rsidR="00546EEB" w14:paraId="0AB64BC2" w14:textId="77777777">
        <w:tc>
          <w:tcPr>
            <w:tcW w:w="5040" w:type="dxa"/>
            <w:tcBorders>
              <w:top w:val="none" w:sz="0" w:space="0" w:color="FFFFFF"/>
              <w:left w:val="none" w:sz="0" w:space="0" w:color="FFFFFF"/>
              <w:bottom w:val="single" w:sz="14" w:space="0" w:color="000000"/>
              <w:right w:val="none" w:sz="0" w:space="0" w:color="FFFFFF"/>
            </w:tcBorders>
            <w:tcMar>
              <w:top w:w="40" w:type="dxa"/>
              <w:left w:w="60" w:type="dxa"/>
              <w:bottom w:w="40" w:type="dxa"/>
              <w:right w:w="80" w:type="dxa"/>
            </w:tcMar>
          </w:tcPr>
          <w:p w14:paraId="73216E87" w14:textId="77777777" w:rsidR="00546EEB" w:rsidRDefault="00000000">
            <w:r>
              <w:rPr>
                <w:rFonts w:eastAsia="Calibri"/>
                <w:b/>
                <w:bCs/>
                <w:color w:val="1F3864"/>
              </w:rPr>
              <w:t>Margin of safety (as a %)</w:t>
            </w:r>
          </w:p>
        </w:tc>
        <w:tc>
          <w:tcPr>
            <w:tcW w:w="1620" w:type="dxa"/>
            <w:tcBorders>
              <w:top w:val="none" w:sz="0" w:space="0" w:color="FFFFFF"/>
              <w:left w:val="none" w:sz="0" w:space="0" w:color="FFFFFF"/>
              <w:bottom w:val="single" w:sz="14" w:space="0" w:color="000000"/>
              <w:right w:val="none" w:sz="0" w:space="0" w:color="FFFFFF"/>
            </w:tcBorders>
            <w:tcMar>
              <w:top w:w="40" w:type="dxa"/>
              <w:left w:w="60" w:type="dxa"/>
              <w:bottom w:w="40" w:type="dxa"/>
              <w:right w:w="60" w:type="dxa"/>
            </w:tcMar>
          </w:tcPr>
          <w:p w14:paraId="649A337E" w14:textId="77777777" w:rsidR="00546EEB" w:rsidRDefault="00000000">
            <w:pPr>
              <w:jc w:val="right"/>
            </w:pPr>
            <w:r>
              <w:rPr>
                <w:rFonts w:eastAsia="Calibri"/>
                <w:b/>
                <w:bCs/>
                <w:color w:val="C00000"/>
              </w:rPr>
              <w:t>35.0%</w:t>
            </w:r>
          </w:p>
        </w:tc>
      </w:tr>
    </w:tbl>
    <w:p w14:paraId="0E8502EF" w14:textId="77777777" w:rsidR="00546EEB" w:rsidRDefault="00546EEB">
      <w:pPr>
        <w:spacing w:after="60"/>
      </w:pPr>
    </w:p>
    <w:p w14:paraId="1FCE39CE" w14:textId="77777777" w:rsidR="00546EEB" w:rsidRDefault="00000000">
      <w:pPr>
        <w:pStyle w:val="ListParagraph"/>
        <w:numPr>
          <w:ilvl w:val="0"/>
          <w:numId w:val="2"/>
        </w:numPr>
        <w:spacing w:after="40" w:line="256" w:lineRule="auto"/>
      </w:pPr>
      <w:r>
        <w:rPr>
          <w:rFonts w:eastAsia="Calibri"/>
        </w:rPr>
        <w:t xml:space="preserve">The 35% cushion means that even if your valuation were too optimistic by, say, 20% (true value ≈ $80), you would </w:t>
      </w:r>
      <w:r>
        <w:rPr>
          <w:rFonts w:eastAsia="Calibri"/>
          <w:i/>
          <w:iCs/>
        </w:rPr>
        <w:t>still</w:t>
      </w:r>
      <w:r>
        <w:rPr>
          <w:rFonts w:eastAsia="Calibri"/>
        </w:rPr>
        <w:t xml:space="preserve"> own the business below its worth at the $65 you paid.</w:t>
      </w:r>
    </w:p>
    <w:p w14:paraId="458C6967"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How Much Margin Is Enough?</w:t>
      </w:r>
    </w:p>
    <w:p w14:paraId="36B47EE4" w14:textId="77777777" w:rsidR="00546EEB" w:rsidRDefault="00000000">
      <w:pPr>
        <w:pStyle w:val="ListParagraph"/>
        <w:numPr>
          <w:ilvl w:val="0"/>
          <w:numId w:val="2"/>
        </w:numPr>
        <w:spacing w:after="40" w:line="256" w:lineRule="auto"/>
      </w:pPr>
      <w:r>
        <w:rPr>
          <w:rFonts w:eastAsia="Calibri"/>
        </w:rPr>
        <w:t>There is no universal number, but the principle scales with uncertainty:</w:t>
      </w:r>
    </w:p>
    <w:p w14:paraId="4574CEF0" w14:textId="77777777" w:rsidR="00546EEB" w:rsidRDefault="00000000">
      <w:pPr>
        <w:pStyle w:val="ListParagraph"/>
        <w:numPr>
          <w:ilvl w:val="1"/>
          <w:numId w:val="2"/>
        </w:numPr>
        <w:spacing w:after="40" w:line="256" w:lineRule="auto"/>
      </w:pPr>
      <w:r>
        <w:rPr>
          <w:rFonts w:eastAsia="Calibri"/>
        </w:rPr>
        <w:t xml:space="preserve">Stable, predictable businesses with high earnings quality justify a </w:t>
      </w:r>
      <w:r>
        <w:rPr>
          <w:rFonts w:eastAsia="Calibri"/>
          <w:b/>
          <w:bCs/>
        </w:rPr>
        <w:t>smaller</w:t>
      </w:r>
      <w:r>
        <w:rPr>
          <w:rFonts w:eastAsia="Calibri"/>
        </w:rPr>
        <w:t xml:space="preserve"> margin (perhaps 15–25%).</w:t>
      </w:r>
    </w:p>
    <w:p w14:paraId="2D33AC6C" w14:textId="77777777" w:rsidR="00546EEB" w:rsidRDefault="00000000">
      <w:pPr>
        <w:pStyle w:val="ListParagraph"/>
        <w:numPr>
          <w:ilvl w:val="1"/>
          <w:numId w:val="2"/>
        </w:numPr>
        <w:spacing w:after="40" w:line="256" w:lineRule="auto"/>
      </w:pPr>
      <w:r>
        <w:rPr>
          <w:rFonts w:eastAsia="Calibri"/>
        </w:rPr>
        <w:t xml:space="preserve">Volatile, hard-to-forecast, or lower-quality businesses demand a </w:t>
      </w:r>
      <w:r>
        <w:rPr>
          <w:rFonts w:eastAsia="Calibri"/>
          <w:b/>
          <w:bCs/>
        </w:rPr>
        <w:t>larger</w:t>
      </w:r>
      <w:r>
        <w:rPr>
          <w:rFonts w:eastAsia="Calibri"/>
        </w:rPr>
        <w:t xml:space="preserve"> margin (often 40%+).</w:t>
      </w:r>
    </w:p>
    <w:p w14:paraId="326A7FE8" w14:textId="77777777" w:rsidR="00546EEB" w:rsidRDefault="00000000">
      <w:pPr>
        <w:pStyle w:val="ListParagraph"/>
        <w:numPr>
          <w:ilvl w:val="0"/>
          <w:numId w:val="2"/>
        </w:numPr>
        <w:spacing w:after="40" w:line="256" w:lineRule="auto"/>
      </w:pPr>
      <w:r>
        <w:rPr>
          <w:rFonts w:eastAsia="Calibri"/>
        </w:rPr>
        <w:t>The riskier and harder-to-value the business, the wider the discount you should insist on before buying.</w:t>
      </w:r>
    </w:p>
    <w:p w14:paraId="3AB9A480"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Why It Connects Everything</w:t>
      </w:r>
    </w:p>
    <w:p w14:paraId="7EE88555" w14:textId="0FFC9DEB" w:rsidR="00546EEB" w:rsidRDefault="00000000">
      <w:pPr>
        <w:pStyle w:val="ListParagraph"/>
        <w:numPr>
          <w:ilvl w:val="0"/>
          <w:numId w:val="2"/>
        </w:numPr>
        <w:spacing w:after="40" w:line="256" w:lineRule="auto"/>
      </w:pPr>
      <w:r>
        <w:rPr>
          <w:rFonts w:eastAsia="Calibri"/>
        </w:rPr>
        <w:t xml:space="preserve">The margin of safety is where the whole class comes together: you estimate value with the time-value tools (Topics </w:t>
      </w:r>
      <w:r w:rsidR="000835AD">
        <w:rPr>
          <w:rFonts w:eastAsia="Calibri"/>
        </w:rPr>
        <w:t>2</w:t>
      </w:r>
      <w:r>
        <w:rPr>
          <w:rFonts w:eastAsia="Calibri"/>
        </w:rPr>
        <w:t>–</w:t>
      </w:r>
      <w:r w:rsidR="000835AD">
        <w:rPr>
          <w:rFonts w:eastAsia="Calibri"/>
        </w:rPr>
        <w:t>4</w:t>
      </w:r>
      <w:r>
        <w:rPr>
          <w:rFonts w:eastAsia="Calibri"/>
        </w:rPr>
        <w:t xml:space="preserve">), you accept that Mr. Market’s price will swing around that value (Topic </w:t>
      </w:r>
      <w:r w:rsidR="000835AD">
        <w:rPr>
          <w:rFonts w:eastAsia="Calibri"/>
        </w:rPr>
        <w:t>1</w:t>
      </w:r>
      <w:r>
        <w:rPr>
          <w:rFonts w:eastAsia="Calibri"/>
        </w:rPr>
        <w:t>), and you protect yourself by buying only at a meaningful discount — and only when the earnings beneath your estimate are trustworthy (Topic 6).</w:t>
      </w:r>
    </w:p>
    <w:p w14:paraId="39500EFB" w14:textId="77777777" w:rsidR="00546EEB" w:rsidRDefault="00546EEB">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060FF2ED"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4F5B8BD3" w14:textId="77777777" w:rsidR="00546EEB" w:rsidRDefault="00000000">
            <w:pPr>
              <w:spacing w:line="264" w:lineRule="auto"/>
            </w:pPr>
            <w:r>
              <w:rPr>
                <w:rFonts w:eastAsia="Calibri"/>
                <w:b/>
                <w:bCs/>
                <w:color w:val="7F6000"/>
              </w:rPr>
              <w:t xml:space="preserve">Key Takeaway:  </w:t>
            </w:r>
            <w:r>
              <w:rPr>
                <w:rFonts w:eastAsia="Calibri"/>
              </w:rPr>
              <w:t>Margin of safety = buying value at a discount to protect against the inevitable errors in your own forecasts. It converts an uncertain valuation into a disciplined, survivable investment.</w:t>
            </w:r>
          </w:p>
        </w:tc>
      </w:tr>
    </w:tbl>
    <w:p w14:paraId="2CE71656" w14:textId="77777777" w:rsidR="00546EEB" w:rsidRDefault="00546EEB">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0B055727"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3850A979" w14:textId="0999C657" w:rsidR="00546EEB" w:rsidRDefault="00000000">
            <w:pPr>
              <w:spacing w:after="80"/>
            </w:pPr>
            <w:r>
              <w:rPr>
                <w:rFonts w:eastAsia="Calibri"/>
                <w:b/>
                <w:bCs/>
              </w:rPr>
              <w:lastRenderedPageBreak/>
              <w:t>Concept Quiz #</w:t>
            </w:r>
            <w:r w:rsidR="00C170E7">
              <w:rPr>
                <w:rFonts w:eastAsia="Calibri"/>
                <w:b/>
                <w:bCs/>
              </w:rPr>
              <w:t>5</w:t>
            </w:r>
          </w:p>
          <w:p w14:paraId="098264B2" w14:textId="77777777" w:rsidR="00546EEB" w:rsidRDefault="00000000">
            <w:pPr>
              <w:tabs>
                <w:tab w:val="left" w:pos="432"/>
              </w:tabs>
              <w:spacing w:before="120" w:after="30"/>
              <w:ind w:left="432" w:hanging="288"/>
            </w:pPr>
            <w:r>
              <w:rPr>
                <w:rFonts w:eastAsia="Calibri"/>
              </w:rPr>
              <w:t>1.</w:t>
            </w:r>
            <w:r>
              <w:rPr>
                <w:rFonts w:eastAsia="Calibri"/>
              </w:rPr>
              <w:tab/>
              <w:t>An analyst estimates a stock’s intrinsic value at $50 and can buy it at $40. The margin of safety is:</w:t>
            </w:r>
          </w:p>
          <w:p w14:paraId="6A5DBD0E" w14:textId="77777777" w:rsidR="00546EEB" w:rsidRDefault="00000000">
            <w:pPr>
              <w:tabs>
                <w:tab w:val="left" w:pos="792"/>
              </w:tabs>
              <w:spacing w:after="14"/>
              <w:ind w:left="792" w:hanging="288"/>
            </w:pPr>
            <w:r>
              <w:rPr>
                <w:rFonts w:eastAsia="Calibri"/>
              </w:rPr>
              <w:t>a.</w:t>
            </w:r>
            <w:r>
              <w:rPr>
                <w:rFonts w:eastAsia="Calibri"/>
              </w:rPr>
              <w:tab/>
              <w:t>10%</w:t>
            </w:r>
          </w:p>
          <w:p w14:paraId="292AAB5D" w14:textId="77777777" w:rsidR="00546EEB" w:rsidRDefault="00000000">
            <w:pPr>
              <w:tabs>
                <w:tab w:val="left" w:pos="792"/>
              </w:tabs>
              <w:spacing w:after="14"/>
              <w:ind w:left="792" w:hanging="288"/>
            </w:pPr>
            <w:r>
              <w:rPr>
                <w:rFonts w:eastAsia="Calibri"/>
              </w:rPr>
              <w:t>b.</w:t>
            </w:r>
            <w:r>
              <w:rPr>
                <w:rFonts w:eastAsia="Calibri"/>
              </w:rPr>
              <w:tab/>
              <w:t>20%</w:t>
            </w:r>
          </w:p>
          <w:p w14:paraId="64FCCA20" w14:textId="77777777" w:rsidR="00546EEB" w:rsidRDefault="00000000">
            <w:pPr>
              <w:tabs>
                <w:tab w:val="left" w:pos="792"/>
              </w:tabs>
              <w:spacing w:after="14"/>
              <w:ind w:left="792" w:hanging="288"/>
            </w:pPr>
            <w:r>
              <w:rPr>
                <w:rFonts w:eastAsia="Calibri"/>
              </w:rPr>
              <w:t>c.</w:t>
            </w:r>
            <w:r>
              <w:rPr>
                <w:rFonts w:eastAsia="Calibri"/>
              </w:rPr>
              <w:tab/>
              <w:t>25%</w:t>
            </w:r>
          </w:p>
          <w:p w14:paraId="50E3286F" w14:textId="77777777" w:rsidR="00546EEB" w:rsidRDefault="00000000">
            <w:pPr>
              <w:tabs>
                <w:tab w:val="left" w:pos="792"/>
              </w:tabs>
              <w:spacing w:after="14"/>
              <w:ind w:left="792" w:hanging="288"/>
            </w:pPr>
            <w:r>
              <w:rPr>
                <w:rFonts w:eastAsia="Calibri"/>
              </w:rPr>
              <w:t>d.</w:t>
            </w:r>
            <w:r>
              <w:rPr>
                <w:rFonts w:eastAsia="Calibri"/>
              </w:rPr>
              <w:tab/>
              <w:t>80%</w:t>
            </w:r>
          </w:p>
          <w:p w14:paraId="3592F900" w14:textId="77777777" w:rsidR="00546EEB" w:rsidRDefault="00000000">
            <w:pPr>
              <w:tabs>
                <w:tab w:val="left" w:pos="432"/>
              </w:tabs>
              <w:spacing w:before="120" w:after="30"/>
              <w:ind w:left="432" w:hanging="288"/>
            </w:pPr>
            <w:r>
              <w:rPr>
                <w:rFonts w:eastAsia="Calibri"/>
              </w:rPr>
              <w:t>2.</w:t>
            </w:r>
            <w:r>
              <w:rPr>
                <w:rFonts w:eastAsia="Calibri"/>
              </w:rPr>
              <w:tab/>
              <w:t>The primary purpose of the margin of safety is to:</w:t>
            </w:r>
          </w:p>
          <w:p w14:paraId="62674433" w14:textId="77777777" w:rsidR="00546EEB" w:rsidRDefault="00000000">
            <w:pPr>
              <w:tabs>
                <w:tab w:val="left" w:pos="792"/>
              </w:tabs>
              <w:spacing w:after="14"/>
              <w:ind w:left="792" w:hanging="288"/>
            </w:pPr>
            <w:r>
              <w:rPr>
                <w:rFonts w:eastAsia="Calibri"/>
              </w:rPr>
              <w:t>a.</w:t>
            </w:r>
            <w:r>
              <w:rPr>
                <w:rFonts w:eastAsia="Calibri"/>
              </w:rPr>
              <w:tab/>
              <w:t>guarantee a profit on every investment</w:t>
            </w:r>
          </w:p>
          <w:p w14:paraId="2EB03225" w14:textId="77777777" w:rsidR="00546EEB" w:rsidRDefault="00000000">
            <w:pPr>
              <w:tabs>
                <w:tab w:val="left" w:pos="792"/>
              </w:tabs>
              <w:spacing w:after="14"/>
              <w:ind w:left="792" w:hanging="288"/>
            </w:pPr>
            <w:r>
              <w:rPr>
                <w:rFonts w:eastAsia="Calibri"/>
              </w:rPr>
              <w:t>b.</w:t>
            </w:r>
            <w:r>
              <w:rPr>
                <w:rFonts w:eastAsia="Calibri"/>
              </w:rPr>
              <w:tab/>
              <w:t>protect against errors in the analyst’s valuation</w:t>
            </w:r>
          </w:p>
          <w:p w14:paraId="38807236" w14:textId="77777777" w:rsidR="00546EEB" w:rsidRDefault="00000000">
            <w:pPr>
              <w:tabs>
                <w:tab w:val="left" w:pos="792"/>
              </w:tabs>
              <w:spacing w:after="14"/>
              <w:ind w:left="792" w:hanging="288"/>
            </w:pPr>
            <w:r>
              <w:rPr>
                <w:rFonts w:eastAsia="Calibri"/>
              </w:rPr>
              <w:t>c.</w:t>
            </w:r>
            <w:r>
              <w:rPr>
                <w:rFonts w:eastAsia="Calibri"/>
              </w:rPr>
              <w:tab/>
              <w:t>predict short-term price movements</w:t>
            </w:r>
          </w:p>
          <w:p w14:paraId="32AA4102" w14:textId="77777777" w:rsidR="00546EEB" w:rsidRDefault="00000000">
            <w:pPr>
              <w:tabs>
                <w:tab w:val="left" w:pos="792"/>
              </w:tabs>
              <w:spacing w:after="14"/>
              <w:ind w:left="792" w:hanging="288"/>
            </w:pPr>
            <w:r>
              <w:rPr>
                <w:rFonts w:eastAsia="Calibri"/>
              </w:rPr>
              <w:t>d.</w:t>
            </w:r>
            <w:r>
              <w:rPr>
                <w:rFonts w:eastAsia="Calibri"/>
              </w:rPr>
              <w:tab/>
              <w:t>eliminate the need to value the business</w:t>
            </w:r>
          </w:p>
          <w:p w14:paraId="488CB6D4" w14:textId="77777777" w:rsidR="00546EEB" w:rsidRDefault="00000000">
            <w:pPr>
              <w:tabs>
                <w:tab w:val="left" w:pos="432"/>
              </w:tabs>
              <w:spacing w:before="120" w:after="30"/>
              <w:ind w:left="432" w:hanging="288"/>
            </w:pPr>
            <w:r>
              <w:rPr>
                <w:rFonts w:eastAsia="Calibri"/>
              </w:rPr>
              <w:t>3.</w:t>
            </w:r>
            <w:r>
              <w:rPr>
                <w:rFonts w:eastAsia="Calibri"/>
              </w:rPr>
              <w:tab/>
              <w:t>All else equal, a business with highly uncertain future cash flows should require a margin of safety that is:</w:t>
            </w:r>
          </w:p>
          <w:p w14:paraId="594EB955" w14:textId="77777777" w:rsidR="00546EEB" w:rsidRDefault="00000000">
            <w:pPr>
              <w:tabs>
                <w:tab w:val="left" w:pos="792"/>
              </w:tabs>
              <w:spacing w:after="14"/>
              <w:ind w:left="792" w:hanging="288"/>
            </w:pPr>
            <w:r>
              <w:rPr>
                <w:rFonts w:eastAsia="Calibri"/>
              </w:rPr>
              <w:t>a.</w:t>
            </w:r>
            <w:r>
              <w:rPr>
                <w:rFonts w:eastAsia="Calibri"/>
              </w:rPr>
              <w:tab/>
              <w:t>larger</w:t>
            </w:r>
          </w:p>
          <w:p w14:paraId="3C28D54F" w14:textId="77777777" w:rsidR="00546EEB" w:rsidRDefault="00000000">
            <w:pPr>
              <w:tabs>
                <w:tab w:val="left" w:pos="792"/>
              </w:tabs>
              <w:spacing w:after="14"/>
              <w:ind w:left="792" w:hanging="288"/>
            </w:pPr>
            <w:r>
              <w:rPr>
                <w:rFonts w:eastAsia="Calibri"/>
              </w:rPr>
              <w:t>b.</w:t>
            </w:r>
            <w:r>
              <w:rPr>
                <w:rFonts w:eastAsia="Calibri"/>
              </w:rPr>
              <w:tab/>
              <w:t>smaller</w:t>
            </w:r>
          </w:p>
          <w:p w14:paraId="058C12F7" w14:textId="77777777" w:rsidR="00546EEB" w:rsidRDefault="00000000">
            <w:pPr>
              <w:tabs>
                <w:tab w:val="left" w:pos="792"/>
              </w:tabs>
              <w:spacing w:after="14"/>
              <w:ind w:left="792" w:hanging="288"/>
            </w:pPr>
            <w:r>
              <w:rPr>
                <w:rFonts w:eastAsia="Calibri"/>
              </w:rPr>
              <w:t>c.</w:t>
            </w:r>
            <w:r>
              <w:rPr>
                <w:rFonts w:eastAsia="Calibri"/>
              </w:rPr>
              <w:tab/>
              <w:t>exactly zero</w:t>
            </w:r>
          </w:p>
          <w:p w14:paraId="69C04A58" w14:textId="77777777" w:rsidR="00546EEB" w:rsidRDefault="00000000">
            <w:pPr>
              <w:tabs>
                <w:tab w:val="left" w:pos="792"/>
              </w:tabs>
              <w:spacing w:after="14"/>
              <w:ind w:left="792" w:hanging="288"/>
            </w:pPr>
            <w:r>
              <w:rPr>
                <w:rFonts w:eastAsia="Calibri"/>
              </w:rPr>
              <w:t>d.</w:t>
            </w:r>
            <w:r>
              <w:rPr>
                <w:rFonts w:eastAsia="Calibri"/>
              </w:rPr>
              <w:tab/>
              <w:t>negative</w:t>
            </w:r>
          </w:p>
          <w:p w14:paraId="6F3135E3" w14:textId="77777777" w:rsidR="00007A1B" w:rsidRDefault="00007A1B">
            <w:pPr>
              <w:spacing w:before="120" w:after="20"/>
              <w:rPr>
                <w:rFonts w:eastAsia="Malgun Gothic"/>
                <w:color w:val="C00000"/>
                <w:lang w:eastAsia="ko-KR"/>
              </w:rPr>
            </w:pPr>
          </w:p>
          <w:p w14:paraId="10F11027" w14:textId="5DEB855C" w:rsidR="00546EEB" w:rsidRDefault="00546EEB">
            <w:pPr>
              <w:spacing w:before="120" w:after="20"/>
            </w:pPr>
          </w:p>
        </w:tc>
      </w:tr>
    </w:tbl>
    <w:p w14:paraId="66ED225F" w14:textId="77777777" w:rsidR="00A2606A" w:rsidRDefault="00A2606A" w:rsidP="00007A1B"/>
    <w:p w14:paraId="324C80FC" w14:textId="77777777" w:rsidR="00A2606A" w:rsidRDefault="00A2606A">
      <w:pPr>
        <w:rPr>
          <w:rFonts w:eastAsia="Calibri"/>
          <w:b/>
          <w:bCs/>
          <w:color w:val="1F3864"/>
          <w:sz w:val="36"/>
          <w:szCs w:val="36"/>
        </w:rPr>
      </w:pPr>
      <w:r>
        <w:br w:type="page"/>
      </w:r>
    </w:p>
    <w:p w14:paraId="3BFD21A8" w14:textId="77777777" w:rsidR="00546EEB" w:rsidRDefault="00000000" w:rsidP="00C91610">
      <w:pPr>
        <w:pStyle w:val="Heading1"/>
      </w:pPr>
      <w:bookmarkStart w:id="6" w:name="_Toc235219227"/>
      <w:r>
        <w:lastRenderedPageBreak/>
        <w:t>Topic 6:</w:t>
      </w:r>
      <w:r>
        <w:tab/>
        <w:t>Earnings Quality</w:t>
      </w:r>
      <w:bookmarkEnd w:id="6"/>
    </w:p>
    <w:p w14:paraId="79010943" w14:textId="77777777" w:rsidR="00546EEB" w:rsidRDefault="00000000">
      <w:pPr>
        <w:pStyle w:val="ListParagraph"/>
        <w:numPr>
          <w:ilvl w:val="0"/>
          <w:numId w:val="2"/>
        </w:numPr>
        <w:spacing w:after="40" w:line="256" w:lineRule="auto"/>
      </w:pPr>
      <w:r>
        <w:rPr>
          <w:rFonts w:eastAsia="Calibri"/>
        </w:rPr>
        <w:t xml:space="preserve">Every valuation tool in this course runs on accounting numbers — earnings, cash flows, book values. </w:t>
      </w:r>
      <w:r>
        <w:rPr>
          <w:rFonts w:eastAsia="Calibri"/>
          <w:b/>
          <w:bCs/>
          <w:color w:val="C00000"/>
          <w:u w:val="single"/>
        </w:rPr>
        <w:t>Earnings quality</w:t>
      </w:r>
      <w:r>
        <w:rPr>
          <w:rFonts w:eastAsia="Calibri"/>
        </w:rPr>
        <w:t xml:space="preserve"> asks the essential question: can we trust the reported numbers as a guide to the future?</w:t>
      </w:r>
    </w:p>
    <w:p w14:paraId="37CD4A5F" w14:textId="77777777" w:rsidR="00546EEB" w:rsidRDefault="00000000">
      <w:pPr>
        <w:pStyle w:val="ListParagraph"/>
        <w:numPr>
          <w:ilvl w:val="0"/>
          <w:numId w:val="2"/>
        </w:numPr>
        <w:spacing w:after="40" w:line="256" w:lineRule="auto"/>
      </w:pPr>
      <w:r>
        <w:rPr>
          <w:rFonts w:eastAsia="Calibri"/>
          <w:b/>
          <w:bCs/>
        </w:rPr>
        <w:t>High-quality earnings</w:t>
      </w:r>
      <w:r>
        <w:rPr>
          <w:rFonts w:eastAsia="Calibri"/>
        </w:rPr>
        <w:t xml:space="preserve"> are (a) </w:t>
      </w:r>
      <w:r>
        <w:rPr>
          <w:rFonts w:eastAsia="Calibri"/>
          <w:i/>
          <w:iCs/>
        </w:rPr>
        <w:t>sustainable</w:t>
      </w:r>
      <w:r>
        <w:rPr>
          <w:rFonts w:eastAsia="Calibri"/>
        </w:rPr>
        <w:t xml:space="preserve"> (likely to recur), (b) </w:t>
      </w:r>
      <w:r>
        <w:rPr>
          <w:rFonts w:eastAsia="Calibri"/>
          <w:i/>
          <w:iCs/>
        </w:rPr>
        <w:t>cash-backed</w:t>
      </w:r>
      <w:r>
        <w:rPr>
          <w:rFonts w:eastAsia="Calibri"/>
        </w:rPr>
        <w:t xml:space="preserve"> (not just accruals), and (c) a </w:t>
      </w:r>
      <w:r>
        <w:rPr>
          <w:rFonts w:eastAsia="Calibri"/>
          <w:i/>
          <w:iCs/>
        </w:rPr>
        <w:t>faithful</w:t>
      </w:r>
      <w:r>
        <w:rPr>
          <w:rFonts w:eastAsia="Calibri"/>
        </w:rPr>
        <w:t xml:space="preserve"> picture of true economic performance.</w:t>
      </w:r>
    </w:p>
    <w:p w14:paraId="59AB023D" w14:textId="77777777" w:rsidR="00546EEB" w:rsidRDefault="00000000">
      <w:pPr>
        <w:pStyle w:val="ListParagraph"/>
        <w:numPr>
          <w:ilvl w:val="0"/>
          <w:numId w:val="2"/>
        </w:numPr>
        <w:spacing w:after="40" w:line="256" w:lineRule="auto"/>
      </w:pPr>
      <w:r>
        <w:rPr>
          <w:rFonts w:eastAsia="Calibri"/>
          <w:b/>
          <w:bCs/>
        </w:rPr>
        <w:t>Low-quality earnings</w:t>
      </w:r>
      <w:r>
        <w:rPr>
          <w:rFonts w:eastAsia="Calibri"/>
        </w:rPr>
        <w:t xml:space="preserve"> are the opposite — propped up by one-time gains, aggressive accounting choices, or accruals that reverse later. A P/E or DCF built on low-quality earnings is precise nonsense.</w:t>
      </w:r>
    </w:p>
    <w:p w14:paraId="1081D54D" w14:textId="77777777" w:rsidR="00546EEB" w:rsidRDefault="00000000">
      <w:pPr>
        <w:tabs>
          <w:tab w:val="left" w:pos="360"/>
        </w:tabs>
        <w:spacing w:before="160" w:after="80"/>
      </w:pPr>
      <w:r>
        <w:rPr>
          <w:rFonts w:eastAsia="Calibri"/>
          <w:color w:val="1F3864"/>
          <w:sz w:val="27"/>
          <w:szCs w:val="27"/>
        </w:rPr>
        <w:t>A.</w:t>
      </w:r>
      <w:r>
        <w:rPr>
          <w:rFonts w:eastAsia="Calibri"/>
          <w:color w:val="1F3864"/>
          <w:sz w:val="27"/>
          <w:szCs w:val="27"/>
        </w:rPr>
        <w:tab/>
        <w:t>Why Earnings and Cash Can Diverge</w:t>
      </w:r>
    </w:p>
    <w:p w14:paraId="5FE0971B" w14:textId="77777777" w:rsidR="00546EEB" w:rsidRDefault="00000000">
      <w:pPr>
        <w:pStyle w:val="ListParagraph"/>
        <w:numPr>
          <w:ilvl w:val="0"/>
          <w:numId w:val="2"/>
        </w:numPr>
        <w:spacing w:after="40" w:line="256" w:lineRule="auto"/>
      </w:pPr>
      <w:r>
        <w:rPr>
          <w:rFonts w:eastAsia="Calibri"/>
        </w:rPr>
        <w:t xml:space="preserve">Accrual accounting records revenues when </w:t>
      </w:r>
      <w:r>
        <w:rPr>
          <w:rFonts w:eastAsia="Calibri"/>
          <w:i/>
          <w:iCs/>
        </w:rPr>
        <w:t>earned</w:t>
      </w:r>
      <w:r>
        <w:rPr>
          <w:rFonts w:eastAsia="Calibri"/>
        </w:rPr>
        <w:t xml:space="preserve"> and expenses when </w:t>
      </w:r>
      <w:r>
        <w:rPr>
          <w:rFonts w:eastAsia="Calibri"/>
          <w:i/>
          <w:iCs/>
        </w:rPr>
        <w:t>incurred</w:t>
      </w:r>
      <w:r>
        <w:rPr>
          <w:rFonts w:eastAsia="Calibri"/>
        </w:rPr>
        <w:t xml:space="preserve"> — not when cash changes hands. This is appropriate, but it gives management latitude (estimates, timing, classifications) that can be used to flatter results.</w:t>
      </w:r>
    </w:p>
    <w:p w14:paraId="4611C020" w14:textId="77777777" w:rsidR="00546EEB" w:rsidRDefault="00000000">
      <w:pPr>
        <w:pStyle w:val="ListParagraph"/>
        <w:numPr>
          <w:ilvl w:val="0"/>
          <w:numId w:val="2"/>
        </w:numPr>
        <w:spacing w:after="40" w:line="256" w:lineRule="auto"/>
      </w:pPr>
      <w:r>
        <w:rPr>
          <w:rFonts w:eastAsia="Calibri"/>
        </w:rPr>
        <w:t xml:space="preserve">A useful first screen: compare </w:t>
      </w:r>
      <w:r>
        <w:rPr>
          <w:rFonts w:eastAsia="Calibri"/>
          <w:b/>
          <w:bCs/>
        </w:rPr>
        <w:t>net income</w:t>
      </w:r>
      <w:r>
        <w:rPr>
          <w:rFonts w:eastAsia="Calibri"/>
        </w:rPr>
        <w:t xml:space="preserve"> with </w:t>
      </w:r>
      <w:r>
        <w:rPr>
          <w:rFonts w:eastAsia="Calibri"/>
          <w:b/>
          <w:bCs/>
        </w:rPr>
        <w:t>operating cash flow</w:t>
      </w:r>
      <w:r>
        <w:rPr>
          <w:rFonts w:eastAsia="Calibri"/>
        </w:rPr>
        <w:t xml:space="preserve"> over time. When earnings persistently and increasingly exceed operating cash flow, the gap is a red flag worth investigating.</w:t>
      </w:r>
    </w:p>
    <w:p w14:paraId="320452E2" w14:textId="77777777" w:rsidR="00546EEB" w:rsidRDefault="00000000">
      <w:pPr>
        <w:tabs>
          <w:tab w:val="left" w:pos="360"/>
        </w:tabs>
        <w:spacing w:before="160" w:after="80"/>
      </w:pPr>
      <w:r>
        <w:rPr>
          <w:rFonts w:eastAsia="Calibri"/>
          <w:color w:val="1F3864"/>
          <w:sz w:val="27"/>
          <w:szCs w:val="27"/>
        </w:rPr>
        <w:t>B.</w:t>
      </w:r>
      <w:r>
        <w:rPr>
          <w:rFonts w:eastAsia="Calibri"/>
          <w:color w:val="1F3864"/>
          <w:sz w:val="27"/>
          <w:szCs w:val="27"/>
        </w:rPr>
        <w:tab/>
        <w:t>Common Red Flags</w:t>
      </w:r>
    </w:p>
    <w:p w14:paraId="6AEC77F9" w14:textId="77777777" w:rsidR="00546EEB" w:rsidRDefault="00546EE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46EEB" w14:paraId="61504235"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0CC37D6D" w14:textId="77777777" w:rsidR="00546EEB" w:rsidRDefault="00000000">
            <w:r>
              <w:rPr>
                <w:rFonts w:eastAsia="Calibri"/>
                <w:b/>
                <w:bCs/>
                <w:color w:val="1F3864"/>
              </w:rPr>
              <w:t>Red flag</w:t>
            </w:r>
          </w:p>
        </w:tc>
        <w:tc>
          <w:tcPr>
            <w:tcW w:w="468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20" w:type="dxa"/>
              <w:bottom w:w="60" w:type="dxa"/>
              <w:right w:w="120" w:type="dxa"/>
            </w:tcMar>
            <w:vAlign w:val="center"/>
          </w:tcPr>
          <w:p w14:paraId="42AF7CB7" w14:textId="77777777" w:rsidR="00546EEB" w:rsidRDefault="00000000">
            <w:r>
              <w:rPr>
                <w:rFonts w:eastAsia="Calibri"/>
                <w:b/>
                <w:bCs/>
                <w:color w:val="1F3864"/>
              </w:rPr>
              <w:t>What it may signal</w:t>
            </w:r>
          </w:p>
        </w:tc>
      </w:tr>
      <w:tr w:rsidR="00546EEB" w14:paraId="698D8B9B"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F08E144" w14:textId="77777777" w:rsidR="00546EEB" w:rsidRDefault="00000000">
            <w:r>
              <w:rPr>
                <w:rFonts w:eastAsia="Calibri"/>
              </w:rPr>
              <w:t>Net income rising while operating cash flow stagnates or falls</w:t>
            </w:r>
          </w:p>
        </w:tc>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2B6CAC3" w14:textId="77777777" w:rsidR="00546EEB" w:rsidRDefault="00000000">
            <w:r>
              <w:rPr>
                <w:rFonts w:eastAsia="Calibri"/>
              </w:rPr>
              <w:t>Earnings supported by accruals, not cash</w:t>
            </w:r>
          </w:p>
        </w:tc>
      </w:tr>
      <w:tr w:rsidR="00546EEB" w14:paraId="1C00BAF0"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7631A162" w14:textId="77777777" w:rsidR="00546EEB" w:rsidRDefault="00000000">
            <w:r>
              <w:rPr>
                <w:rFonts w:eastAsia="Calibri"/>
              </w:rPr>
              <w:t>Revenue growing far faster than receivables can be collected</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690911E7" w14:textId="77777777" w:rsidR="00546EEB" w:rsidRDefault="00000000">
            <w:r>
              <w:rPr>
                <w:rFonts w:eastAsia="Calibri"/>
              </w:rPr>
              <w:t>Aggressive or premature revenue recognition</w:t>
            </w:r>
          </w:p>
        </w:tc>
      </w:tr>
      <w:tr w:rsidR="00546EEB" w14:paraId="170ABF69"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31051DE" w14:textId="77777777" w:rsidR="00546EEB" w:rsidRDefault="00000000">
            <w:r>
              <w:rPr>
                <w:rFonts w:eastAsia="Calibri"/>
              </w:rPr>
              <w:t>Heavy reliance on “non-recurring” items that keep recurring</w:t>
            </w:r>
          </w:p>
        </w:tc>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42192D6" w14:textId="77777777" w:rsidR="00546EEB" w:rsidRDefault="00000000">
            <w:r>
              <w:rPr>
                <w:rFonts w:eastAsia="Calibri"/>
              </w:rPr>
              <w:t>Core earnings weaker than they appear</w:t>
            </w:r>
          </w:p>
        </w:tc>
      </w:tr>
      <w:tr w:rsidR="00546EEB" w14:paraId="6E88ECE8"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125DE44E" w14:textId="77777777" w:rsidR="00546EEB" w:rsidRDefault="00000000">
            <w:r>
              <w:rPr>
                <w:rFonts w:eastAsia="Calibri"/>
              </w:rPr>
              <w:t>Frequent changes in estimates, reserves, or accounting policies</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20" w:type="dxa"/>
              <w:bottom w:w="60" w:type="dxa"/>
              <w:right w:w="120" w:type="dxa"/>
            </w:tcMar>
            <w:vAlign w:val="center"/>
          </w:tcPr>
          <w:p w14:paraId="370C50EA" w14:textId="77777777" w:rsidR="00546EEB" w:rsidRDefault="00000000">
            <w:r>
              <w:rPr>
                <w:rFonts w:eastAsia="Calibri"/>
              </w:rPr>
              <w:t>Results may be managed to hit targets</w:t>
            </w:r>
          </w:p>
        </w:tc>
      </w:tr>
      <w:tr w:rsidR="00546EEB" w14:paraId="0A3C6421"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5F58090" w14:textId="77777777" w:rsidR="00546EEB" w:rsidRDefault="00000000">
            <w:r>
              <w:rPr>
                <w:rFonts w:eastAsia="Calibri"/>
              </w:rPr>
              <w:t>Large or growing gap between GAAP and “adjusted” earnings</w:t>
            </w:r>
          </w:p>
        </w:tc>
        <w:tc>
          <w:tcPr>
            <w:tcW w:w="46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651C698" w14:textId="77777777" w:rsidR="00546EEB" w:rsidRDefault="00000000">
            <w:r>
              <w:rPr>
                <w:rFonts w:eastAsia="Calibri"/>
              </w:rPr>
              <w:t>Inconvenient costs excluded from the headline number</w:t>
            </w:r>
          </w:p>
        </w:tc>
      </w:tr>
    </w:tbl>
    <w:p w14:paraId="49D9EE39" w14:textId="77777777" w:rsidR="00546EEB" w:rsidRDefault="00546EEB">
      <w:pPr>
        <w:spacing w:after="80"/>
      </w:pPr>
    </w:p>
    <w:p w14:paraId="4894EF4D" w14:textId="77777777" w:rsidR="00546EEB" w:rsidRDefault="00000000">
      <w:pPr>
        <w:tabs>
          <w:tab w:val="left" w:pos="360"/>
        </w:tabs>
        <w:spacing w:before="160" w:after="80"/>
      </w:pPr>
      <w:r>
        <w:rPr>
          <w:rFonts w:eastAsia="Calibri"/>
          <w:color w:val="1F3864"/>
          <w:sz w:val="27"/>
          <w:szCs w:val="27"/>
        </w:rPr>
        <w:t>C.</w:t>
      </w:r>
      <w:r>
        <w:rPr>
          <w:rFonts w:eastAsia="Calibri"/>
          <w:color w:val="1F3864"/>
          <w:sz w:val="27"/>
          <w:szCs w:val="27"/>
        </w:rPr>
        <w:tab/>
        <w:t>The Practical Discipline</w:t>
      </w:r>
    </w:p>
    <w:p w14:paraId="14AD3AB6" w14:textId="77777777" w:rsidR="00546EEB" w:rsidRDefault="00000000">
      <w:pPr>
        <w:pStyle w:val="ListParagraph"/>
        <w:numPr>
          <w:ilvl w:val="0"/>
          <w:numId w:val="2"/>
        </w:numPr>
        <w:spacing w:after="40" w:line="256" w:lineRule="auto"/>
      </w:pPr>
      <w:r>
        <w:rPr>
          <w:rFonts w:eastAsia="Calibri"/>
        </w:rPr>
        <w:t xml:space="preserve">Before trusting an earnings figure for valuation, ask three questions: Is it </w:t>
      </w:r>
      <w:r>
        <w:rPr>
          <w:rFonts w:eastAsia="Calibri"/>
          <w:i/>
          <w:iCs/>
        </w:rPr>
        <w:t>recurring</w:t>
      </w:r>
      <w:r>
        <w:rPr>
          <w:rFonts w:eastAsia="Calibri"/>
        </w:rPr>
        <w:t xml:space="preserve">? Is it </w:t>
      </w:r>
      <w:r>
        <w:rPr>
          <w:rFonts w:eastAsia="Calibri"/>
          <w:i/>
          <w:iCs/>
        </w:rPr>
        <w:t>cash-backed</w:t>
      </w:r>
      <w:r>
        <w:rPr>
          <w:rFonts w:eastAsia="Calibri"/>
        </w:rPr>
        <w:t xml:space="preserve">? Would it survive a skeptical reading of the </w:t>
      </w:r>
      <w:r>
        <w:rPr>
          <w:rFonts w:eastAsia="Calibri"/>
          <w:i/>
          <w:iCs/>
        </w:rPr>
        <w:t>footnotes</w:t>
      </w:r>
      <w:r>
        <w:rPr>
          <w:rFonts w:eastAsia="Calibri"/>
        </w:rPr>
        <w:t>?</w:t>
      </w:r>
    </w:p>
    <w:p w14:paraId="54B21482" w14:textId="77777777" w:rsidR="00546EEB" w:rsidRDefault="00000000">
      <w:pPr>
        <w:pStyle w:val="ListParagraph"/>
        <w:numPr>
          <w:ilvl w:val="0"/>
          <w:numId w:val="2"/>
        </w:numPr>
        <w:spacing w:after="40" w:line="256" w:lineRule="auto"/>
      </w:pPr>
      <w:r>
        <w:rPr>
          <w:rFonts w:eastAsia="Calibri"/>
        </w:rPr>
        <w:t>Earnings quality is not mainly about catching fraud (though it sometimes does). It is about knowing how much weight a number can bear before you build a valuation on top of it.</w:t>
      </w:r>
    </w:p>
    <w:p w14:paraId="4EC9A880" w14:textId="77777777" w:rsidR="00546EEB" w:rsidRDefault="00546EEB">
      <w:pPr>
        <w:spacing w:after="120"/>
      </w:pPr>
    </w:p>
    <w:tbl>
      <w:tblPr>
        <w:tblW w:w="9360" w:type="dxa"/>
        <w:tblBorders>
          <w:top w:val="single" w:sz="6" w:space="0" w:color="BF9000"/>
          <w:left w:val="single" w:sz="6" w:space="0" w:color="BF9000"/>
          <w:bottom w:val="single" w:sz="6" w:space="0" w:color="BF9000"/>
          <w:right w:val="single" w:sz="6" w:space="0" w:color="BF9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4D777DB3" w14:textId="77777777">
        <w:tc>
          <w:tcPr>
            <w:tcW w:w="9360" w:type="dxa"/>
            <w:tcBorders>
              <w:top w:val="single" w:sz="6" w:space="0" w:color="BF9000"/>
              <w:left w:val="single" w:sz="6" w:space="0" w:color="BF9000"/>
              <w:bottom w:val="single" w:sz="6" w:space="0" w:color="BF9000"/>
              <w:right w:val="single" w:sz="6" w:space="0" w:color="BF9000"/>
            </w:tcBorders>
            <w:shd w:val="clear" w:color="auto" w:fill="FFF2CC"/>
            <w:tcMar>
              <w:top w:w="120" w:type="dxa"/>
              <w:left w:w="200" w:type="dxa"/>
              <w:bottom w:w="120" w:type="dxa"/>
              <w:right w:w="200" w:type="dxa"/>
            </w:tcMar>
          </w:tcPr>
          <w:p w14:paraId="29521835" w14:textId="77777777" w:rsidR="00546EEB" w:rsidRDefault="00000000">
            <w:pPr>
              <w:spacing w:line="264" w:lineRule="auto"/>
            </w:pPr>
            <w:r>
              <w:rPr>
                <w:rFonts w:eastAsia="Calibri"/>
                <w:b/>
                <w:bCs/>
                <w:color w:val="7F6000"/>
              </w:rPr>
              <w:t xml:space="preserve">Key Takeaway:  </w:t>
            </w:r>
            <w:r>
              <w:rPr>
                <w:rFonts w:eastAsia="Calibri"/>
              </w:rPr>
              <w:t>Earnings quality is the trust you can place in the numbers. A valuation is only as reliable as the earnings beneath it — so vet the earnings before you discount them.</w:t>
            </w:r>
          </w:p>
        </w:tc>
      </w:tr>
    </w:tbl>
    <w:p w14:paraId="7C1E0AB3" w14:textId="77777777" w:rsidR="00546EEB" w:rsidRDefault="00546EEB">
      <w:pPr>
        <w:spacing w:after="140"/>
      </w:pPr>
    </w:p>
    <w:tbl>
      <w:tblPr>
        <w:tblW w:w="9360"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46EEB" w14:paraId="10BFFEE3" w14:textId="77777777">
        <w:tc>
          <w:tcPr>
            <w:tcW w:w="9360" w:type="dxa"/>
            <w:tcBorders>
              <w:top w:val="single" w:sz="8" w:space="0" w:color="2E75B6"/>
              <w:left w:val="single" w:sz="8" w:space="0" w:color="2E75B6"/>
              <w:bottom w:val="single" w:sz="8" w:space="0" w:color="2E75B6"/>
              <w:right w:val="single" w:sz="8" w:space="0" w:color="2E75B6"/>
            </w:tcBorders>
            <w:tcMar>
              <w:top w:w="150" w:type="dxa"/>
              <w:left w:w="220" w:type="dxa"/>
              <w:bottom w:w="150" w:type="dxa"/>
              <w:right w:w="220" w:type="dxa"/>
            </w:tcMar>
          </w:tcPr>
          <w:p w14:paraId="278D6A97" w14:textId="0E6DECCF" w:rsidR="00546EEB" w:rsidRDefault="00000000">
            <w:pPr>
              <w:spacing w:after="80"/>
            </w:pPr>
            <w:r>
              <w:rPr>
                <w:rFonts w:eastAsia="Calibri"/>
                <w:b/>
                <w:bCs/>
              </w:rPr>
              <w:lastRenderedPageBreak/>
              <w:t>Concept Quiz #</w:t>
            </w:r>
            <w:r w:rsidR="00C170E7">
              <w:rPr>
                <w:rFonts w:eastAsia="Calibri"/>
                <w:b/>
                <w:bCs/>
              </w:rPr>
              <w:t>6</w:t>
            </w:r>
          </w:p>
          <w:p w14:paraId="773EFC8B" w14:textId="77777777" w:rsidR="00546EEB" w:rsidRDefault="00000000">
            <w:pPr>
              <w:tabs>
                <w:tab w:val="left" w:pos="432"/>
              </w:tabs>
              <w:spacing w:before="120" w:after="30"/>
              <w:ind w:left="432" w:hanging="288"/>
            </w:pPr>
            <w:r>
              <w:rPr>
                <w:rFonts w:eastAsia="Calibri"/>
              </w:rPr>
              <w:t>1.</w:t>
            </w:r>
            <w:r>
              <w:rPr>
                <w:rFonts w:eastAsia="Calibri"/>
              </w:rPr>
              <w:tab/>
              <w:t>Which of the following is the strongest single indicator that reported earnings may be of low quality?</w:t>
            </w:r>
          </w:p>
          <w:p w14:paraId="466B4A98" w14:textId="77777777" w:rsidR="00546EEB" w:rsidRDefault="00000000">
            <w:pPr>
              <w:tabs>
                <w:tab w:val="left" w:pos="792"/>
              </w:tabs>
              <w:spacing w:after="14"/>
              <w:ind w:left="792" w:hanging="288"/>
            </w:pPr>
            <w:r>
              <w:rPr>
                <w:rFonts w:eastAsia="Calibri"/>
              </w:rPr>
              <w:t>a.</w:t>
            </w:r>
            <w:r>
              <w:rPr>
                <w:rFonts w:eastAsia="Calibri"/>
              </w:rPr>
              <w:tab/>
              <w:t>Earnings that have grown steadily for a decade</w:t>
            </w:r>
          </w:p>
          <w:p w14:paraId="1D198ADA" w14:textId="77777777" w:rsidR="00546EEB" w:rsidRDefault="00000000">
            <w:pPr>
              <w:tabs>
                <w:tab w:val="left" w:pos="792"/>
              </w:tabs>
              <w:spacing w:after="14"/>
              <w:ind w:left="792" w:hanging="288"/>
            </w:pPr>
            <w:r>
              <w:rPr>
                <w:rFonts w:eastAsia="Calibri"/>
              </w:rPr>
              <w:t>b.</w:t>
            </w:r>
            <w:r>
              <w:rPr>
                <w:rFonts w:eastAsia="Calibri"/>
              </w:rPr>
              <w:tab/>
              <w:t>Net income that consistently and increasingly exceeds operating cash flow</w:t>
            </w:r>
          </w:p>
          <w:p w14:paraId="77F09AAB" w14:textId="77777777" w:rsidR="00546EEB" w:rsidRDefault="00000000">
            <w:pPr>
              <w:tabs>
                <w:tab w:val="left" w:pos="792"/>
              </w:tabs>
              <w:spacing w:after="14"/>
              <w:ind w:left="792" w:hanging="288"/>
            </w:pPr>
            <w:r>
              <w:rPr>
                <w:rFonts w:eastAsia="Calibri"/>
              </w:rPr>
              <w:t>c.</w:t>
            </w:r>
            <w:r>
              <w:rPr>
                <w:rFonts w:eastAsia="Calibri"/>
              </w:rPr>
              <w:tab/>
              <w:t>A dividend that rises each year</w:t>
            </w:r>
          </w:p>
          <w:p w14:paraId="646A8B47" w14:textId="77777777" w:rsidR="00546EEB" w:rsidRDefault="00000000">
            <w:pPr>
              <w:tabs>
                <w:tab w:val="left" w:pos="792"/>
              </w:tabs>
              <w:spacing w:after="14"/>
              <w:ind w:left="792" w:hanging="288"/>
            </w:pPr>
            <w:r>
              <w:rPr>
                <w:rFonts w:eastAsia="Calibri"/>
              </w:rPr>
              <w:t>d.</w:t>
            </w:r>
            <w:r>
              <w:rPr>
                <w:rFonts w:eastAsia="Calibri"/>
              </w:rPr>
              <w:tab/>
              <w:t>A low P/E ratio</w:t>
            </w:r>
          </w:p>
          <w:p w14:paraId="666E180E" w14:textId="77777777" w:rsidR="00546EEB" w:rsidRDefault="00000000">
            <w:pPr>
              <w:tabs>
                <w:tab w:val="left" w:pos="432"/>
              </w:tabs>
              <w:spacing w:before="120" w:after="30"/>
              <w:ind w:left="432" w:hanging="288"/>
            </w:pPr>
            <w:r>
              <w:rPr>
                <w:rFonts w:eastAsia="Calibri"/>
              </w:rPr>
              <w:t>2.</w:t>
            </w:r>
            <w:r>
              <w:rPr>
                <w:rFonts w:eastAsia="Calibri"/>
              </w:rPr>
              <w:tab/>
              <w:t>“High-quality” earnings are best described as earnings that are:</w:t>
            </w:r>
          </w:p>
          <w:p w14:paraId="289DB531" w14:textId="77777777" w:rsidR="00546EEB" w:rsidRDefault="00000000">
            <w:pPr>
              <w:tabs>
                <w:tab w:val="left" w:pos="792"/>
              </w:tabs>
              <w:spacing w:after="14"/>
              <w:ind w:left="792" w:hanging="288"/>
            </w:pPr>
            <w:r>
              <w:rPr>
                <w:rFonts w:eastAsia="Calibri"/>
              </w:rPr>
              <w:t>a.</w:t>
            </w:r>
            <w:r>
              <w:rPr>
                <w:rFonts w:eastAsia="Calibri"/>
              </w:rPr>
              <w:tab/>
              <w:t>as large as possible</w:t>
            </w:r>
          </w:p>
          <w:p w14:paraId="453CE60D" w14:textId="77777777" w:rsidR="00546EEB" w:rsidRDefault="00000000">
            <w:pPr>
              <w:tabs>
                <w:tab w:val="left" w:pos="792"/>
              </w:tabs>
              <w:spacing w:after="14"/>
              <w:ind w:left="792" w:hanging="288"/>
            </w:pPr>
            <w:r>
              <w:rPr>
                <w:rFonts w:eastAsia="Calibri"/>
              </w:rPr>
              <w:t>b.</w:t>
            </w:r>
            <w:r>
              <w:rPr>
                <w:rFonts w:eastAsia="Calibri"/>
              </w:rPr>
              <w:tab/>
              <w:t>sustainable and backed by cash</w:t>
            </w:r>
          </w:p>
          <w:p w14:paraId="4C5264FA" w14:textId="77777777" w:rsidR="00546EEB" w:rsidRDefault="00000000">
            <w:pPr>
              <w:tabs>
                <w:tab w:val="left" w:pos="792"/>
              </w:tabs>
              <w:spacing w:after="14"/>
              <w:ind w:left="792" w:hanging="288"/>
            </w:pPr>
            <w:r>
              <w:rPr>
                <w:rFonts w:eastAsia="Calibri"/>
              </w:rPr>
              <w:t>c.</w:t>
            </w:r>
            <w:r>
              <w:rPr>
                <w:rFonts w:eastAsia="Calibri"/>
              </w:rPr>
              <w:tab/>
              <w:t>reported under pro-forma rather than GAAP rules</w:t>
            </w:r>
          </w:p>
          <w:p w14:paraId="0FF8A603" w14:textId="77777777" w:rsidR="00546EEB" w:rsidRDefault="00000000">
            <w:pPr>
              <w:tabs>
                <w:tab w:val="left" w:pos="792"/>
              </w:tabs>
              <w:spacing w:after="14"/>
              <w:ind w:left="792" w:hanging="288"/>
            </w:pPr>
            <w:r>
              <w:rPr>
                <w:rFonts w:eastAsia="Calibri"/>
              </w:rPr>
              <w:t>d.</w:t>
            </w:r>
            <w:r>
              <w:rPr>
                <w:rFonts w:eastAsia="Calibri"/>
              </w:rPr>
              <w:tab/>
              <w:t>growing faster than revenue</w:t>
            </w:r>
          </w:p>
          <w:p w14:paraId="510576BD" w14:textId="77777777" w:rsidR="00546EEB" w:rsidRDefault="00000000">
            <w:pPr>
              <w:tabs>
                <w:tab w:val="left" w:pos="432"/>
              </w:tabs>
              <w:spacing w:before="120" w:after="30"/>
              <w:ind w:left="432" w:hanging="288"/>
            </w:pPr>
            <w:r>
              <w:rPr>
                <w:rFonts w:eastAsia="Calibri"/>
              </w:rPr>
              <w:t>3.</w:t>
            </w:r>
            <w:r>
              <w:rPr>
                <w:rFonts w:eastAsia="Calibri"/>
              </w:rPr>
              <w:tab/>
              <w:t>Why does earnings quality matter for a DCF or P/E valuation?</w:t>
            </w:r>
          </w:p>
          <w:p w14:paraId="59A90C99" w14:textId="77777777" w:rsidR="00546EEB" w:rsidRDefault="00000000">
            <w:pPr>
              <w:tabs>
                <w:tab w:val="left" w:pos="792"/>
              </w:tabs>
              <w:spacing w:after="14"/>
              <w:ind w:left="792" w:hanging="288"/>
            </w:pPr>
            <w:r>
              <w:rPr>
                <w:rFonts w:eastAsia="Calibri"/>
              </w:rPr>
              <w:t>a.</w:t>
            </w:r>
            <w:r>
              <w:rPr>
                <w:rFonts w:eastAsia="Calibri"/>
              </w:rPr>
              <w:tab/>
              <w:t>It does not; only growth matters</w:t>
            </w:r>
          </w:p>
          <w:p w14:paraId="45551E8D" w14:textId="77777777" w:rsidR="00546EEB" w:rsidRDefault="00000000">
            <w:pPr>
              <w:tabs>
                <w:tab w:val="left" w:pos="792"/>
              </w:tabs>
              <w:spacing w:after="14"/>
              <w:ind w:left="792" w:hanging="288"/>
            </w:pPr>
            <w:r>
              <w:rPr>
                <w:rFonts w:eastAsia="Calibri"/>
              </w:rPr>
              <w:t>b.</w:t>
            </w:r>
            <w:r>
              <w:rPr>
                <w:rFonts w:eastAsia="Calibri"/>
              </w:rPr>
              <w:tab/>
              <w:t>The valuation is only as reliable as the earnings it is built on</w:t>
            </w:r>
          </w:p>
          <w:p w14:paraId="6D81E04F" w14:textId="77777777" w:rsidR="00546EEB" w:rsidRDefault="00000000">
            <w:pPr>
              <w:tabs>
                <w:tab w:val="left" w:pos="792"/>
              </w:tabs>
              <w:spacing w:after="14"/>
              <w:ind w:left="792" w:hanging="288"/>
            </w:pPr>
            <w:r>
              <w:rPr>
                <w:rFonts w:eastAsia="Calibri"/>
              </w:rPr>
              <w:t>c.</w:t>
            </w:r>
            <w:r>
              <w:rPr>
                <w:rFonts w:eastAsia="Calibri"/>
              </w:rPr>
              <w:tab/>
              <w:t>It changes the discount rate to zero</w:t>
            </w:r>
          </w:p>
          <w:p w14:paraId="2A8735C7" w14:textId="77777777" w:rsidR="00546EEB" w:rsidRDefault="00000000">
            <w:pPr>
              <w:tabs>
                <w:tab w:val="left" w:pos="792"/>
              </w:tabs>
              <w:spacing w:after="14"/>
              <w:ind w:left="792" w:hanging="288"/>
              <w:rPr>
                <w:rFonts w:eastAsia="Malgun Gothic"/>
                <w:lang w:eastAsia="ko-KR"/>
              </w:rPr>
            </w:pPr>
            <w:r>
              <w:rPr>
                <w:rFonts w:eastAsia="Calibri"/>
              </w:rPr>
              <w:t>d.</w:t>
            </w:r>
            <w:r>
              <w:rPr>
                <w:rFonts w:eastAsia="Calibri"/>
              </w:rPr>
              <w:tab/>
              <w:t>It eliminates the need for a terminal value</w:t>
            </w:r>
          </w:p>
          <w:p w14:paraId="7341AE45" w14:textId="77777777" w:rsidR="00007A1B" w:rsidRPr="00007A1B" w:rsidRDefault="00007A1B">
            <w:pPr>
              <w:tabs>
                <w:tab w:val="left" w:pos="792"/>
              </w:tabs>
              <w:spacing w:after="14"/>
              <w:ind w:left="792" w:hanging="288"/>
              <w:rPr>
                <w:rFonts w:eastAsia="Malgun Gothic"/>
                <w:lang w:eastAsia="ko-KR"/>
              </w:rPr>
            </w:pPr>
          </w:p>
          <w:p w14:paraId="2026EF88" w14:textId="2F67FE3A" w:rsidR="00546EEB" w:rsidRDefault="00546EEB">
            <w:pPr>
              <w:spacing w:before="120" w:after="20"/>
            </w:pPr>
          </w:p>
        </w:tc>
      </w:tr>
    </w:tbl>
    <w:p w14:paraId="30A21312" w14:textId="77777777" w:rsidR="00546EEB" w:rsidRDefault="00546EEB">
      <w:pPr>
        <w:spacing w:after="260"/>
      </w:pPr>
    </w:p>
    <w:p w14:paraId="54C273C0" w14:textId="77777777" w:rsidR="00A2606A" w:rsidRDefault="00A2606A">
      <w:pPr>
        <w:spacing w:after="260"/>
      </w:pPr>
    </w:p>
    <w:p w14:paraId="42DF8143" w14:textId="77777777" w:rsidR="00A2606A" w:rsidRDefault="00A2606A">
      <w:pPr>
        <w:spacing w:after="260"/>
      </w:pPr>
    </w:p>
    <w:p w14:paraId="136ED27E" w14:textId="43357ADC" w:rsidR="00546EEB" w:rsidRDefault="00000000">
      <w:pPr>
        <w:spacing w:before="200" w:after="40"/>
        <w:jc w:val="center"/>
      </w:pPr>
      <w:r>
        <w:rPr>
          <w:rFonts w:eastAsia="Calibri"/>
          <w:color w:val="808080"/>
        </w:rPr>
        <w:t>-</w:t>
      </w:r>
      <w:r w:rsidR="00942515">
        <w:rPr>
          <w:rFonts w:eastAsia="Malgun Gothic" w:hint="eastAsia"/>
          <w:color w:val="808080"/>
          <w:lang w:eastAsia="ko-KR"/>
        </w:rPr>
        <w:t>-----------------------------------</w:t>
      </w:r>
      <w:r>
        <w:rPr>
          <w:rFonts w:eastAsia="Calibri"/>
          <w:color w:val="808080"/>
        </w:rPr>
        <w:t xml:space="preserve">-----     The End of the Valuation Primer     </w:t>
      </w:r>
      <w:r w:rsidR="00942515">
        <w:rPr>
          <w:rFonts w:eastAsia="Calibri"/>
          <w:color w:val="808080"/>
        </w:rPr>
        <w:t>-</w:t>
      </w:r>
      <w:r w:rsidR="00942515">
        <w:rPr>
          <w:rFonts w:eastAsia="Malgun Gothic" w:hint="eastAsia"/>
          <w:color w:val="808080"/>
          <w:lang w:eastAsia="ko-KR"/>
        </w:rPr>
        <w:t>-------------------------------------</w:t>
      </w:r>
      <w:r w:rsidR="00942515">
        <w:rPr>
          <w:rFonts w:eastAsia="Calibri"/>
          <w:color w:val="808080"/>
        </w:rPr>
        <w:t xml:space="preserve">---  </w:t>
      </w:r>
    </w:p>
    <w:sectPr w:rsidR="00546EEB" w:rsidSect="00FB035C">
      <w:headerReference w:type="default" r:id="rId12"/>
      <w:footerReference w:type="default" r:id="rId13"/>
      <w:pgSz w:w="11906" w:h="16838" w:code="9"/>
      <w:pgMar w:top="1440" w:right="1440" w:bottom="1440" w:left="1440" w:header="720" w:footer="864" w:gutter="0"/>
      <w:pgBorders w:offsetFrom="page">
        <w:top w:val="single" w:sz="12" w:space="24" w:color="2E75B6"/>
        <w:left w:val="single" w:sz="12" w:space="24" w:color="2E75B6"/>
        <w:bottom w:val="single" w:sz="12" w:space="24" w:color="2E75B6"/>
        <w:right w:val="single" w:sz="12" w:space="24" w:color="2E75B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C0D86" w14:textId="77777777" w:rsidR="0012649B" w:rsidRDefault="0012649B">
      <w:r>
        <w:separator/>
      </w:r>
    </w:p>
  </w:endnote>
  <w:endnote w:type="continuationSeparator" w:id="0">
    <w:p w14:paraId="192AA0E7" w14:textId="77777777" w:rsidR="0012649B" w:rsidRDefault="00126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9039" w14:textId="29EDCDBA" w:rsidR="00546EEB" w:rsidRPr="00FB035C" w:rsidRDefault="00FB035C">
    <w:pPr>
      <w:tabs>
        <w:tab w:val="right" w:pos="9360"/>
      </w:tabs>
      <w:rPr>
        <w:sz w:val="24"/>
        <w:szCs w:val="24"/>
      </w:rPr>
    </w:pPr>
    <w:r>
      <w:rPr>
        <w:rFonts w:eastAsia="Malgun Gothic" w:hint="eastAsia"/>
        <w:i/>
        <w:iCs/>
        <w:sz w:val="20"/>
        <w:szCs w:val="20"/>
        <w:lang w:eastAsia="ko-KR"/>
      </w:rPr>
      <w:t>Financial Accounting</w:t>
    </w:r>
    <w:r w:rsidRPr="00FB035C">
      <w:rPr>
        <w:rFonts w:eastAsia="Calibri"/>
        <w:i/>
        <w:iCs/>
        <w:sz w:val="20"/>
        <w:szCs w:val="20"/>
      </w:rPr>
      <w:tab/>
      <w:t xml:space="preserve">Page </w:t>
    </w:r>
    <w:r w:rsidRPr="00FB035C">
      <w:rPr>
        <w:i/>
        <w:iCs/>
        <w:sz w:val="20"/>
        <w:szCs w:val="20"/>
      </w:rPr>
      <w:fldChar w:fldCharType="begin"/>
    </w:r>
    <w:r w:rsidRPr="00FB035C">
      <w:rPr>
        <w:rFonts w:eastAsia="Calibri"/>
        <w:i/>
        <w:iCs/>
        <w:sz w:val="20"/>
        <w:szCs w:val="20"/>
      </w:rPr>
      <w:instrText>PAGE</w:instrText>
    </w:r>
    <w:r w:rsidRPr="00FB035C">
      <w:rPr>
        <w:i/>
        <w:iCs/>
        <w:sz w:val="20"/>
        <w:szCs w:val="20"/>
      </w:rPr>
      <w:fldChar w:fldCharType="separate"/>
    </w:r>
    <w:r w:rsidR="002166DF" w:rsidRPr="00FB035C">
      <w:rPr>
        <w:i/>
        <w:iCs/>
        <w:noProof/>
        <w:sz w:val="20"/>
        <w:szCs w:val="20"/>
      </w:rPr>
      <w:t>1</w:t>
    </w:r>
    <w:r w:rsidRPr="00FB035C">
      <w:rPr>
        <w:i/>
        <w:iCs/>
        <w:sz w:val="20"/>
        <w:szCs w:val="20"/>
      </w:rPr>
      <w:fldChar w:fldCharType="end"/>
    </w:r>
    <w:r w:rsidRPr="00FB035C">
      <w:rPr>
        <w:rFonts w:eastAsia="Calibri"/>
        <w:i/>
        <w:iCs/>
        <w:sz w:val="20"/>
        <w:szCs w:val="20"/>
      </w:rPr>
      <w:t xml:space="preserve"> of </w:t>
    </w:r>
    <w:r w:rsidRPr="00FB035C">
      <w:rPr>
        <w:i/>
        <w:iCs/>
        <w:sz w:val="20"/>
        <w:szCs w:val="20"/>
      </w:rPr>
      <w:fldChar w:fldCharType="begin"/>
    </w:r>
    <w:r w:rsidRPr="00FB035C">
      <w:rPr>
        <w:rFonts w:eastAsia="Calibri"/>
        <w:i/>
        <w:iCs/>
        <w:sz w:val="20"/>
        <w:szCs w:val="20"/>
      </w:rPr>
      <w:instrText>NUMPAGES</w:instrText>
    </w:r>
    <w:r w:rsidRPr="00FB035C">
      <w:rPr>
        <w:i/>
        <w:iCs/>
        <w:sz w:val="20"/>
        <w:szCs w:val="20"/>
      </w:rPr>
      <w:fldChar w:fldCharType="separate"/>
    </w:r>
    <w:r w:rsidR="002166DF" w:rsidRPr="00FB035C">
      <w:rPr>
        <w:i/>
        <w:iCs/>
        <w:noProof/>
        <w:sz w:val="20"/>
        <w:szCs w:val="20"/>
      </w:rPr>
      <w:t>2</w:t>
    </w:r>
    <w:r w:rsidRPr="00FB035C">
      <w:rPr>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A7D97" w14:textId="77777777" w:rsidR="0012649B" w:rsidRDefault="0012649B">
      <w:r>
        <w:separator/>
      </w:r>
    </w:p>
  </w:footnote>
  <w:footnote w:type="continuationSeparator" w:id="0">
    <w:p w14:paraId="401C9713" w14:textId="77777777" w:rsidR="0012649B" w:rsidRDefault="0012649B">
      <w:r>
        <w:continuationSeparator/>
      </w:r>
    </w:p>
  </w:footnote>
  <w:footnote w:id="1">
    <w:p w14:paraId="2B85DE1C" w14:textId="1EF7BAA2" w:rsidR="003558C9" w:rsidRDefault="003558C9">
      <w:pPr>
        <w:pStyle w:val="FootnoteText"/>
      </w:pPr>
      <w:r>
        <w:rPr>
          <w:rStyle w:val="FootnoteReference"/>
        </w:rPr>
        <w:footnoteRef/>
      </w:r>
      <w:r>
        <w:t xml:space="preserve"> </w:t>
      </w:r>
      <w:r w:rsidRPr="003558C9">
        <w:t>Since CFO is computed after deducting interest, we add back interest net of tax — Interest × (1 − t) — to measure cash flow available to all capital providers, both debt and equity holders.</w:t>
      </w:r>
    </w:p>
  </w:footnote>
  <w:footnote w:id="2">
    <w:p w14:paraId="6564963E" w14:textId="77777777" w:rsidR="00B21843" w:rsidRPr="00A043D7" w:rsidRDefault="00B21843" w:rsidP="00B21843">
      <w:pPr>
        <w:pStyle w:val="FootnoteText"/>
      </w:pPr>
      <w:r>
        <w:rPr>
          <w:rStyle w:val="FootnoteReference"/>
        </w:rPr>
        <w:footnoteRef/>
      </w:r>
      <w:r>
        <w:t xml:space="preserve"> </w:t>
      </w:r>
      <w:r w:rsidRPr="00A043D7">
        <w:t xml:space="preserve">The value of a business is the present value of its </w:t>
      </w:r>
      <w:r w:rsidRPr="00A043D7">
        <w:rPr>
          <w:b/>
          <w:bCs/>
        </w:rPr>
        <w:t>cash flows</w:t>
      </w:r>
      <w:r w:rsidRPr="00A043D7">
        <w:t xml:space="preserve">, so a valuation formula strictly wants </w:t>
      </w:r>
      <w:r w:rsidRPr="00A043D7">
        <w:rPr>
          <w:b/>
          <w:bCs/>
        </w:rPr>
        <w:t>free cash flow</w:t>
      </w:r>
      <w:r w:rsidRPr="00A043D7">
        <w:t>, not accounting earnings. The two differ whenever there are non-cash charges or net reinvestment.</w:t>
      </w:r>
      <w:r>
        <w:rPr>
          <w:rFonts w:hint="eastAsia"/>
          <w:lang w:eastAsia="ko-KR"/>
        </w:rPr>
        <w:t xml:space="preserve"> </w:t>
      </w:r>
      <w:r w:rsidRPr="00A043D7">
        <w:rPr>
          <w:b/>
          <w:bCs/>
        </w:rPr>
        <w:t>Step 1 is the one case where they coincide.</w:t>
      </w:r>
      <w:r w:rsidRPr="00A043D7">
        <w:t xml:space="preserve"> With no growth, net new investment is zero — capital expenditure merely replaces depreciation, and working capital is flat.</w:t>
      </w:r>
      <w:r>
        <w:rPr>
          <w:rFonts w:hint="eastAsia"/>
          <w:lang w:eastAsia="ko-KR"/>
        </w:rPr>
        <w:t xml:space="preserve"> </w:t>
      </w:r>
      <w:r w:rsidRPr="00A043D7">
        <w:t xml:space="preserve">So the items that normally separate earnings from free cash flow cancel out. </w:t>
      </w:r>
      <w:r w:rsidRPr="00A043D7">
        <w:rPr>
          <w:b/>
          <w:bCs/>
        </w:rPr>
        <w:t>Earnings, dividends, and free cash flow are all equal here</w:t>
      </w:r>
      <w:r w:rsidRPr="00A043D7">
        <w:t xml:space="preserve"> — not as an approximation, but because the no-growth assumption forces it.</w:t>
      </w:r>
      <w:r>
        <w:rPr>
          <w:rFonts w:hint="eastAsia"/>
          <w:lang w:eastAsia="ko-KR"/>
        </w:rPr>
        <w:t xml:space="preserve"> </w:t>
      </w:r>
      <w:r w:rsidRPr="00A043D7">
        <w:t xml:space="preserve">That is what lets us write </w:t>
      </w:r>
      <w:r w:rsidRPr="00A043D7">
        <w:rPr>
          <w:i/>
          <w:iCs/>
        </w:rPr>
        <w:t>E</w:t>
      </w:r>
      <w:r w:rsidRPr="00A043D7">
        <w:t xml:space="preserve"> in a formula that technically calls for cash flow.</w:t>
      </w:r>
    </w:p>
    <w:p w14:paraId="5EE4B22C" w14:textId="77777777" w:rsidR="00B21843" w:rsidRDefault="00B21843" w:rsidP="00B21843">
      <w:pPr>
        <w:pStyle w:val="FootnoteText"/>
        <w:rPr>
          <w:lang w:eastAsia="ko-K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5F83" w14:textId="22FA23A7" w:rsidR="00FB035C" w:rsidRDefault="00FB035C" w:rsidP="00FB035C">
    <w:pPr>
      <w:pStyle w:val="Header"/>
      <w:jc w:val="right"/>
    </w:pPr>
    <w:r w:rsidRPr="00FB035C">
      <w:rPr>
        <w:rFonts w:eastAsia="Calibri"/>
        <w:i/>
        <w:iCs/>
        <w:sz w:val="20"/>
        <w:szCs w:val="20"/>
      </w:rPr>
      <w:t>Introduction to 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7260B"/>
    <w:multiLevelType w:val="hybridMultilevel"/>
    <w:tmpl w:val="51884FD8"/>
    <w:lvl w:ilvl="0" w:tplc="880008C8">
      <w:start w:val="1"/>
      <w:numFmt w:val="bullet"/>
      <w:lvlText w:val="•"/>
      <w:lvlJc w:val="left"/>
      <w:pPr>
        <w:ind w:left="360" w:hanging="220"/>
      </w:pPr>
    </w:lvl>
    <w:lvl w:ilvl="1" w:tplc="414ECB84">
      <w:start w:val="1"/>
      <w:numFmt w:val="bullet"/>
      <w:lvlText w:val="–"/>
      <w:lvlJc w:val="left"/>
      <w:pPr>
        <w:ind w:left="720" w:hanging="220"/>
      </w:pPr>
    </w:lvl>
    <w:lvl w:ilvl="2" w:tplc="377CDF26">
      <w:numFmt w:val="decimal"/>
      <w:lvlText w:val=""/>
      <w:lvlJc w:val="left"/>
      <w:pPr>
        <w:ind w:left="0" w:firstLine="0"/>
      </w:pPr>
    </w:lvl>
    <w:lvl w:ilvl="3" w:tplc="3F82CFC0">
      <w:numFmt w:val="decimal"/>
      <w:lvlText w:val=""/>
      <w:lvlJc w:val="left"/>
      <w:pPr>
        <w:ind w:left="0" w:firstLine="0"/>
      </w:pPr>
    </w:lvl>
    <w:lvl w:ilvl="4" w:tplc="963E6776">
      <w:numFmt w:val="decimal"/>
      <w:lvlText w:val=""/>
      <w:lvlJc w:val="left"/>
      <w:pPr>
        <w:ind w:left="0" w:firstLine="0"/>
      </w:pPr>
    </w:lvl>
    <w:lvl w:ilvl="5" w:tplc="A1166B06">
      <w:numFmt w:val="decimal"/>
      <w:lvlText w:val=""/>
      <w:lvlJc w:val="left"/>
      <w:pPr>
        <w:ind w:left="0" w:firstLine="0"/>
      </w:pPr>
    </w:lvl>
    <w:lvl w:ilvl="6" w:tplc="25849848">
      <w:numFmt w:val="decimal"/>
      <w:lvlText w:val=""/>
      <w:lvlJc w:val="left"/>
      <w:pPr>
        <w:ind w:left="0" w:firstLine="0"/>
      </w:pPr>
    </w:lvl>
    <w:lvl w:ilvl="7" w:tplc="8B1647D8">
      <w:numFmt w:val="decimal"/>
      <w:lvlText w:val=""/>
      <w:lvlJc w:val="left"/>
      <w:pPr>
        <w:ind w:left="0" w:firstLine="0"/>
      </w:pPr>
    </w:lvl>
    <w:lvl w:ilvl="8" w:tplc="A4249EEE">
      <w:numFmt w:val="decimal"/>
      <w:lvlText w:val=""/>
      <w:lvlJc w:val="left"/>
      <w:pPr>
        <w:ind w:left="0" w:firstLine="0"/>
      </w:pPr>
    </w:lvl>
  </w:abstractNum>
  <w:abstractNum w:abstractNumId="1" w15:restartNumberingAfterBreak="0">
    <w:nsid w:val="530A7FE2"/>
    <w:multiLevelType w:val="hybridMultilevel"/>
    <w:tmpl w:val="CE00736E"/>
    <w:lvl w:ilvl="0" w:tplc="B204CB72">
      <w:start w:val="1"/>
      <w:numFmt w:val="bullet"/>
      <w:lvlText w:val="▪"/>
      <w:lvlJc w:val="left"/>
      <w:pPr>
        <w:ind w:left="504" w:hanging="288"/>
      </w:pPr>
      <w:rPr>
        <w:rFonts w:ascii="Calibri" w:eastAsia="Calibri" w:hAnsi="Calibri" w:cs="Calibri"/>
      </w:rPr>
    </w:lvl>
    <w:lvl w:ilvl="1" w:tplc="884EB9DA">
      <w:start w:val="1"/>
      <w:numFmt w:val="bullet"/>
      <w:lvlText w:val="–"/>
      <w:lvlJc w:val="left"/>
      <w:pPr>
        <w:ind w:left="936" w:hanging="288"/>
      </w:pPr>
      <w:rPr>
        <w:rFonts w:ascii="Calibri" w:eastAsia="Calibri" w:hAnsi="Calibri" w:cs="Calibri"/>
      </w:rPr>
    </w:lvl>
    <w:lvl w:ilvl="2" w:tplc="687277A4">
      <w:start w:val="1"/>
      <w:numFmt w:val="bullet"/>
      <w:lvlText w:val="o"/>
      <w:lvlJc w:val="left"/>
      <w:pPr>
        <w:ind w:left="1368" w:hanging="288"/>
      </w:pPr>
      <w:rPr>
        <w:rFonts w:ascii="Calibri" w:eastAsia="Calibri" w:hAnsi="Calibri" w:cs="Calibri"/>
      </w:rPr>
    </w:lvl>
    <w:lvl w:ilvl="3" w:tplc="6FAC90CA">
      <w:numFmt w:val="decimal"/>
      <w:lvlText w:val=""/>
      <w:lvlJc w:val="left"/>
    </w:lvl>
    <w:lvl w:ilvl="4" w:tplc="2C8A2EB0">
      <w:numFmt w:val="decimal"/>
      <w:lvlText w:val=""/>
      <w:lvlJc w:val="left"/>
    </w:lvl>
    <w:lvl w:ilvl="5" w:tplc="5A169BCC">
      <w:numFmt w:val="decimal"/>
      <w:lvlText w:val=""/>
      <w:lvlJc w:val="left"/>
    </w:lvl>
    <w:lvl w:ilvl="6" w:tplc="68F04E78">
      <w:numFmt w:val="decimal"/>
      <w:lvlText w:val=""/>
      <w:lvlJc w:val="left"/>
    </w:lvl>
    <w:lvl w:ilvl="7" w:tplc="C87E065A">
      <w:numFmt w:val="decimal"/>
      <w:lvlText w:val=""/>
      <w:lvlJc w:val="left"/>
    </w:lvl>
    <w:lvl w:ilvl="8" w:tplc="F3C2147C">
      <w:numFmt w:val="decimal"/>
      <w:lvlText w:val=""/>
      <w:lvlJc w:val="left"/>
    </w:lvl>
  </w:abstractNum>
  <w:abstractNum w:abstractNumId="2" w15:restartNumberingAfterBreak="0">
    <w:nsid w:val="67D10983"/>
    <w:multiLevelType w:val="hybridMultilevel"/>
    <w:tmpl w:val="38C2F224"/>
    <w:lvl w:ilvl="0" w:tplc="CF36E4EE">
      <w:start w:val="1"/>
      <w:numFmt w:val="bullet"/>
      <w:lvlText w:val="●"/>
      <w:lvlJc w:val="left"/>
      <w:pPr>
        <w:ind w:left="720" w:hanging="360"/>
      </w:pPr>
    </w:lvl>
    <w:lvl w:ilvl="1" w:tplc="10C49AC0">
      <w:start w:val="1"/>
      <w:numFmt w:val="bullet"/>
      <w:lvlText w:val="○"/>
      <w:lvlJc w:val="left"/>
      <w:pPr>
        <w:ind w:left="1440" w:hanging="360"/>
      </w:pPr>
    </w:lvl>
    <w:lvl w:ilvl="2" w:tplc="549A08EC">
      <w:start w:val="1"/>
      <w:numFmt w:val="bullet"/>
      <w:lvlText w:val="■"/>
      <w:lvlJc w:val="left"/>
      <w:pPr>
        <w:ind w:left="2160" w:hanging="360"/>
      </w:pPr>
    </w:lvl>
    <w:lvl w:ilvl="3" w:tplc="ABA0AA4A">
      <w:start w:val="1"/>
      <w:numFmt w:val="bullet"/>
      <w:lvlText w:val="●"/>
      <w:lvlJc w:val="left"/>
      <w:pPr>
        <w:ind w:left="2880" w:hanging="360"/>
      </w:pPr>
    </w:lvl>
    <w:lvl w:ilvl="4" w:tplc="5DB0B690">
      <w:start w:val="1"/>
      <w:numFmt w:val="bullet"/>
      <w:lvlText w:val="○"/>
      <w:lvlJc w:val="left"/>
      <w:pPr>
        <w:ind w:left="3600" w:hanging="360"/>
      </w:pPr>
    </w:lvl>
    <w:lvl w:ilvl="5" w:tplc="3C32B254">
      <w:start w:val="1"/>
      <w:numFmt w:val="bullet"/>
      <w:lvlText w:val="■"/>
      <w:lvlJc w:val="left"/>
      <w:pPr>
        <w:ind w:left="4320" w:hanging="360"/>
      </w:pPr>
    </w:lvl>
    <w:lvl w:ilvl="6" w:tplc="B30EA8AC">
      <w:start w:val="1"/>
      <w:numFmt w:val="bullet"/>
      <w:lvlText w:val="●"/>
      <w:lvlJc w:val="left"/>
      <w:pPr>
        <w:ind w:left="5040" w:hanging="360"/>
      </w:pPr>
    </w:lvl>
    <w:lvl w:ilvl="7" w:tplc="57A23968">
      <w:start w:val="1"/>
      <w:numFmt w:val="bullet"/>
      <w:lvlText w:val="●"/>
      <w:lvlJc w:val="left"/>
      <w:pPr>
        <w:ind w:left="5760" w:hanging="360"/>
      </w:pPr>
    </w:lvl>
    <w:lvl w:ilvl="8" w:tplc="C6506186">
      <w:start w:val="1"/>
      <w:numFmt w:val="bullet"/>
      <w:lvlText w:val="●"/>
      <w:lvlJc w:val="left"/>
      <w:pPr>
        <w:ind w:left="6480" w:hanging="360"/>
      </w:pPr>
    </w:lvl>
  </w:abstractNum>
  <w:num w:numId="1" w16cid:durableId="2101025713">
    <w:abstractNumId w:val="2"/>
    <w:lvlOverride w:ilvl="0">
      <w:startOverride w:val="1"/>
    </w:lvlOverride>
  </w:num>
  <w:num w:numId="2" w16cid:durableId="1926767827">
    <w:abstractNumId w:val="1"/>
    <w:lvlOverride w:ilvl="0">
      <w:startOverride w:val="1"/>
    </w:lvlOverride>
  </w:num>
  <w:num w:numId="3" w16cid:durableId="54279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zoom w:percent="127"/>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EEB"/>
    <w:rsid w:val="00007A1B"/>
    <w:rsid w:val="000835AD"/>
    <w:rsid w:val="000F11EA"/>
    <w:rsid w:val="0012083F"/>
    <w:rsid w:val="0012649B"/>
    <w:rsid w:val="001674E4"/>
    <w:rsid w:val="001F3E9D"/>
    <w:rsid w:val="00211410"/>
    <w:rsid w:val="002166DF"/>
    <w:rsid w:val="003558C9"/>
    <w:rsid w:val="004E500A"/>
    <w:rsid w:val="00536339"/>
    <w:rsid w:val="00546EEB"/>
    <w:rsid w:val="005E6B11"/>
    <w:rsid w:val="006877F5"/>
    <w:rsid w:val="006A1443"/>
    <w:rsid w:val="006D7F27"/>
    <w:rsid w:val="006F5A47"/>
    <w:rsid w:val="00712137"/>
    <w:rsid w:val="00730D7D"/>
    <w:rsid w:val="00781944"/>
    <w:rsid w:val="00847D81"/>
    <w:rsid w:val="00885C66"/>
    <w:rsid w:val="008A0940"/>
    <w:rsid w:val="008F3E65"/>
    <w:rsid w:val="00942515"/>
    <w:rsid w:val="00995442"/>
    <w:rsid w:val="009C67DE"/>
    <w:rsid w:val="00A043D7"/>
    <w:rsid w:val="00A07D9A"/>
    <w:rsid w:val="00A2606A"/>
    <w:rsid w:val="00A27C62"/>
    <w:rsid w:val="00A877D0"/>
    <w:rsid w:val="00A90448"/>
    <w:rsid w:val="00AF1D40"/>
    <w:rsid w:val="00AF6030"/>
    <w:rsid w:val="00B0193B"/>
    <w:rsid w:val="00B21843"/>
    <w:rsid w:val="00B960BF"/>
    <w:rsid w:val="00BF1128"/>
    <w:rsid w:val="00BF3D50"/>
    <w:rsid w:val="00C170E7"/>
    <w:rsid w:val="00C2381B"/>
    <w:rsid w:val="00C26B6C"/>
    <w:rsid w:val="00C91610"/>
    <w:rsid w:val="00CC0E76"/>
    <w:rsid w:val="00CC18A3"/>
    <w:rsid w:val="00D51962"/>
    <w:rsid w:val="00D570A5"/>
    <w:rsid w:val="00E67546"/>
    <w:rsid w:val="00ED1D53"/>
    <w:rsid w:val="00F54AC4"/>
    <w:rsid w:val="00F91656"/>
    <w:rsid w:val="00FB035C"/>
    <w:rsid w:val="00FC442E"/>
    <w:rsid w:val="00FC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097F9"/>
  <w15:docId w15:val="{5D928AFE-E649-40D6-8E1B-4253A290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Batang"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200"/>
      <w:outlineLvl w:val="0"/>
    </w:pPr>
    <w:rPr>
      <w:rFonts w:eastAsia="Calibri"/>
      <w:b/>
      <w:bCs/>
      <w:color w:val="1F3864"/>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7D9A"/>
    <w:pPr>
      <w:tabs>
        <w:tab w:val="center" w:pos="4680"/>
        <w:tab w:val="right" w:pos="9360"/>
      </w:tabs>
    </w:pPr>
  </w:style>
  <w:style w:type="character" w:customStyle="1" w:styleId="HeaderChar">
    <w:name w:val="Header Char"/>
    <w:basedOn w:val="DefaultParagraphFont"/>
    <w:link w:val="Header"/>
    <w:uiPriority w:val="99"/>
    <w:rsid w:val="00A07D9A"/>
  </w:style>
  <w:style w:type="paragraph" w:styleId="Footer">
    <w:name w:val="footer"/>
    <w:basedOn w:val="Normal"/>
    <w:link w:val="FooterChar"/>
    <w:uiPriority w:val="99"/>
    <w:unhideWhenUsed/>
    <w:rsid w:val="00A07D9A"/>
    <w:pPr>
      <w:tabs>
        <w:tab w:val="center" w:pos="4680"/>
        <w:tab w:val="right" w:pos="9360"/>
      </w:tabs>
    </w:pPr>
  </w:style>
  <w:style w:type="character" w:customStyle="1" w:styleId="FooterChar">
    <w:name w:val="Footer Char"/>
    <w:basedOn w:val="DefaultParagraphFont"/>
    <w:link w:val="Footer"/>
    <w:uiPriority w:val="99"/>
    <w:rsid w:val="00A07D9A"/>
  </w:style>
  <w:style w:type="paragraph" w:styleId="TOCHeading">
    <w:name w:val="TOC Heading"/>
    <w:basedOn w:val="Heading1"/>
    <w:next w:val="Normal"/>
    <w:uiPriority w:val="39"/>
    <w:unhideWhenUsed/>
    <w:qFormat/>
    <w:rsid w:val="00B960B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eastAsia="en-US"/>
    </w:rPr>
  </w:style>
  <w:style w:type="paragraph" w:styleId="TOC1">
    <w:name w:val="toc 1"/>
    <w:basedOn w:val="Normal"/>
    <w:next w:val="Normal"/>
    <w:autoRedefine/>
    <w:uiPriority w:val="39"/>
    <w:unhideWhenUsed/>
    <w:rsid w:val="00B960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berkshirehathaway.com/letters/1987.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66B97-7042-48BB-95D7-DA831A00F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20</Pages>
  <Words>4600</Words>
  <Characters>26226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Introduction to Valuation</vt:lpstr>
    </vt:vector>
  </TitlesOfParts>
  <Company/>
  <LinksUpToDate>false</LinksUpToDate>
  <CharactersWithSpaces>30765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7</cp:revision>
  <dcterms:created xsi:type="dcterms:W3CDTF">2026-07-19T05:15:00Z</dcterms:created>
  <dcterms:modified xsi:type="dcterms:W3CDTF">2026-07-20T14:20:00Z</dcterms:modified>
</cp:coreProperties>
</file>