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 w:line="330"/>
        <w:jc w:val="center"/>
      </w:pPr>
      <w:r>
        <w:rPr>
          <w:rFonts w:ascii="Arial" w:cs="Arial" w:eastAsia="Malgun Gothic" w:hAnsi="Arial"/>
          <w:b/>
          <w:bCs/>
          <w:i w:val="false"/>
          <w:iCs w:val="false"/>
          <w:color w:val="1F4899"/>
          <w:sz w:val="38"/>
          <w:szCs w:val="38"/>
        </w:rPr>
        <w:t xml:space="preserve">Chapter 5 — Ratio Analysis</w:t>
      </w:r>
    </w:p>
    <w:p>
      <w:pPr>
        <w:pBdr>
          <w:bottom w:val="single" w:color="1F4899" w:sz="10" w:space="6"/>
        </w:pBdr>
        <w:spacing w:after="240" w:line="240"/>
        <w:jc w:val="center"/>
      </w:pPr>
      <w:r>
        <w:rPr>
          <w:rFonts w:ascii="Arial" w:cs="Arial" w:eastAsia="Malgun Gothic" w:hAnsi="Arial"/>
          <w:b w:val="false"/>
          <w:bCs w:val="false"/>
          <w:i w:val="false"/>
          <w:iCs w:val="false"/>
          <w:color w:val="1F4899"/>
          <w:sz w:val="22"/>
          <w:szCs w:val="22"/>
        </w:rPr>
        <w:t xml:space="preserve">Analyzing and Interpreting Financial Statements  ·  Homework Solutions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Part 1  ·  Discussion Questions</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Q5-1</w:t>
            </w:r>
          </w:p>
          <w:p>
            <w:pPr>
              <w:spacing w:after="0" w:before="0" w:line="264"/>
            </w:pPr>
            <w:r>
              <w:rPr>
                <w:rFonts w:ascii="Arial" w:cs="Arial" w:eastAsia="Malgun Gothic" w:hAnsi="Arial"/>
                <w:b w:val="false"/>
                <w:bCs w:val="false"/>
                <w:i w:val="false"/>
                <w:iCs w:val="false"/>
                <w:color w:val="1D1D1D"/>
                <w:sz w:val="21"/>
                <w:szCs w:val="21"/>
              </w:rPr>
              <w:t xml:space="preserve">Explain in general terms the concept of return on investment. Why is this concept important in the analysis of financial performance?</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Solution</w:t>
            </w:r>
          </w:p>
          <w:p>
            <w:pPr>
              <w:spacing w:after="55" w:before="0" w:line="264"/>
            </w:pPr>
            <w:r>
              <w:rPr>
                <w:rFonts w:ascii="Arial" w:cs="Arial" w:eastAsia="Malgun Gothic" w:hAnsi="Arial"/>
                <w:b w:val="false"/>
                <w:bCs w:val="false"/>
                <w:i w:val="false"/>
                <w:iCs w:val="false"/>
                <w:color w:val="1D1D1D"/>
                <w:sz w:val="21"/>
                <w:szCs w:val="21"/>
              </w:rPr>
              <w:t xml:space="preserve">Return on investment measures profitability </w:t>
            </w:r>
            <w:r>
              <w:rPr>
                <w:rFonts w:ascii="Arial" w:cs="Arial" w:eastAsia="Malgun Gothic" w:hAnsi="Arial"/>
                <w:b/>
                <w:bCs/>
                <w:i w:val="false"/>
                <w:iCs w:val="false"/>
                <w:color w:val="1D1D1D"/>
                <w:sz w:val="21"/>
                <w:szCs w:val="21"/>
              </w:rPr>
              <w:t xml:space="preserve">in relation to the amount of investment</w:t>
            </w:r>
            <w:r>
              <w:rPr>
                <w:rFonts w:ascii="Arial" w:cs="Arial" w:eastAsia="Malgun Gothic" w:hAnsi="Arial"/>
                <w:b w:val="false"/>
                <w:bCs w:val="false"/>
                <w:i w:val="false"/>
                <w:iCs w:val="false"/>
                <w:color w:val="1D1D1D"/>
                <w:sz w:val="21"/>
                <w:szCs w:val="21"/>
              </w:rPr>
              <w:t xml:space="preserve"> made in the business. A company can always increase dollar profit by increasing the amount of investment (assuming it is a profitable investment), so dollar profits alone are not a meaningful way to look at financial performance.</w:t>
            </w:r>
          </w:p>
          <w:p>
            <w:pPr>
              <w:spacing w:after="0" w:before="0" w:line="264"/>
            </w:pPr>
            <w:r>
              <w:rPr>
                <w:rFonts w:ascii="Arial" w:cs="Arial" w:eastAsia="Malgun Gothic" w:hAnsi="Arial"/>
                <w:b w:val="false"/>
                <w:bCs w:val="false"/>
                <w:i w:val="false"/>
                <w:iCs w:val="false"/>
                <w:color w:val="1D1D1D"/>
                <w:sz w:val="21"/>
                <w:szCs w:val="21"/>
              </w:rPr>
              <w:t xml:space="preserve">Using return on investment requires us to focus not only on the income statement, but also on the </w:t>
            </w:r>
            <w:r>
              <w:rPr>
                <w:rFonts w:ascii="Arial" w:cs="Arial" w:eastAsia="Malgun Gothic" w:hAnsi="Arial"/>
                <w:b/>
                <w:bCs/>
                <w:i w:val="false"/>
                <w:iCs w:val="false"/>
                <w:color w:val="1D1D1D"/>
                <w:sz w:val="21"/>
                <w:szCs w:val="21"/>
              </w:rPr>
              <w:t xml:space="preserve">balance sheet</w:t>
            </w:r>
            <w:r>
              <w:rPr>
                <w:rFonts w:ascii="Arial" w:cs="Arial" w:eastAsia="Malgun Gothic" w:hAnsi="Arial"/>
                <w:b w:val="false"/>
                <w:bCs w:val="false"/>
                <w:i w:val="false"/>
                <w:iCs w:val="false"/>
                <w:color w:val="1D1D1D"/>
                <w:sz w:val="21"/>
                <w:szCs w:val="21"/>
              </w:rPr>
              <w:t xml:space="preserve">.</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Q5-2</w:t>
            </w:r>
          </w:p>
          <w:p>
            <w:pPr>
              <w:spacing w:after="55" w:before="0" w:line="264"/>
            </w:pPr>
            <w:r>
              <w:rPr>
                <w:rFonts w:ascii="Arial" w:cs="Arial" w:eastAsia="Malgun Gothic" w:hAnsi="Arial"/>
                <w:b/>
                <w:bCs/>
                <w:i w:val="false"/>
                <w:iCs w:val="false"/>
                <w:color w:val="1D1D1D"/>
                <w:sz w:val="21"/>
                <w:szCs w:val="21"/>
              </w:rPr>
              <w:t xml:space="preserve">(a)</w:t>
            </w:r>
            <w:r>
              <w:rPr>
                <w:rFonts w:ascii="Arial" w:cs="Arial" w:eastAsia="Malgun Gothic" w:hAnsi="Arial"/>
                <w:b w:val="false"/>
                <w:bCs w:val="false"/>
                <w:i w:val="false"/>
                <w:iCs w:val="false"/>
                <w:color w:val="1D1D1D"/>
                <w:sz w:val="21"/>
                <w:szCs w:val="21"/>
              </w:rPr>
              <w:t xml:space="preserve"> Explain how an increase in financial leverage can increase a company’s ROE.</w:t>
            </w:r>
          </w:p>
          <w:p>
            <w:pPr>
              <w:spacing w:after="0" w:before="0" w:line="264"/>
            </w:pPr>
            <w:r>
              <w:rPr>
                <w:rFonts w:ascii="Arial" w:cs="Arial" w:eastAsia="Malgun Gothic" w:hAnsi="Arial"/>
                <w:b/>
                <w:bCs/>
                <w:i w:val="false"/>
                <w:iCs w:val="false"/>
                <w:color w:val="1D1D1D"/>
                <w:sz w:val="21"/>
                <w:szCs w:val="21"/>
              </w:rPr>
              <w:t xml:space="preserve">(b)</w:t>
            </w:r>
            <w:r>
              <w:rPr>
                <w:rFonts w:ascii="Arial" w:cs="Arial" w:eastAsia="Malgun Gothic" w:hAnsi="Arial"/>
                <w:b w:val="false"/>
                <w:bCs w:val="false"/>
                <w:i w:val="false"/>
                <w:iCs w:val="false"/>
                <w:color w:val="1D1D1D"/>
                <w:sz w:val="21"/>
                <w:szCs w:val="21"/>
              </w:rPr>
              <w:t xml:space="preserve"> Given the potentially positive relation between financial leverage and ROE, why don’t we see companies with 100% financial leverage?</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Solution</w:t>
            </w:r>
          </w:p>
          <w:p>
            <w:pPr>
              <w:spacing w:after="55" w:before="0" w:line="264"/>
            </w:pPr>
            <w:r>
              <w:rPr>
                <w:rFonts w:ascii="Arial" w:cs="Arial" w:eastAsia="Malgun Gothic" w:hAnsi="Arial"/>
                <w:b w:val="false"/>
                <w:bCs w:val="false"/>
                <w:i w:val="false"/>
                <w:iCs w:val="false"/>
                <w:color w:val="1D1D1D"/>
                <w:sz w:val="21"/>
                <w:szCs w:val="21"/>
              </w:rPr>
              <w:t xml:space="preserve">ROE is the sum of return on assets (ROA) and the return that results from the effective use of financial leverage (ROFL). Increasing leverage increases ROE </w:t>
            </w:r>
            <w:r>
              <w:rPr>
                <w:rFonts w:ascii="Arial" w:cs="Arial" w:eastAsia="Malgun Gothic" w:hAnsi="Arial"/>
                <w:b/>
                <w:bCs/>
                <w:i w:val="false"/>
                <w:iCs w:val="false"/>
                <w:color w:val="1D1D1D"/>
                <w:sz w:val="21"/>
                <w:szCs w:val="21"/>
              </w:rPr>
              <w:t xml:space="preserve">as long as ROA exceeds the after-tax interest rate</w:t>
            </w:r>
            <w:r>
              <w:rPr>
                <w:rFonts w:ascii="Arial" w:cs="Arial" w:eastAsia="Malgun Gothic" w:hAnsi="Arial"/>
                <w:b w:val="false"/>
                <w:bCs w:val="false"/>
                <w:i w:val="false"/>
                <w:iCs w:val="false"/>
                <w:color w:val="1D1D1D"/>
                <w:sz w:val="21"/>
                <w:szCs w:val="21"/>
              </w:rPr>
              <w:t xml:space="preserve">.</w:t>
            </w:r>
          </w:p>
          <w:p>
            <w:pPr>
              <w:spacing w:after="0" w:before="0" w:line="264"/>
            </w:pPr>
            <w:r>
              <w:rPr>
                <w:rFonts w:ascii="Arial" w:cs="Arial" w:eastAsia="Malgun Gothic" w:hAnsi="Arial"/>
                <w:b w:val="false"/>
                <w:bCs w:val="false"/>
                <w:i w:val="false"/>
                <w:iCs w:val="false"/>
                <w:color w:val="1D1D1D"/>
                <w:sz w:val="21"/>
                <w:szCs w:val="21"/>
              </w:rPr>
              <w:t xml:space="preserve">Financial leverage is also related to risk — the risk of potential bankruptcy and the risk of increased variability of profits. Companies must therefore balance the positive effects of leverage against their potential negative consequences. It is for this reason that we do not witness companies entirely financed with debt.</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Q5-3</w:t>
            </w:r>
          </w:p>
          <w:p>
            <w:pPr>
              <w:spacing w:after="0" w:before="0" w:line="264"/>
            </w:pPr>
            <w:r>
              <w:rPr>
                <w:rFonts w:ascii="Arial" w:cs="Arial" w:eastAsia="Malgun Gothic" w:hAnsi="Arial"/>
                <w:b w:val="false"/>
                <w:bCs w:val="false"/>
                <w:i w:val="false"/>
                <w:iCs w:val="false"/>
                <w:color w:val="1D1D1D"/>
                <w:sz w:val="21"/>
                <w:szCs w:val="21"/>
              </w:rPr>
              <w:t xml:space="preserve">Identify two factors that can cause gross profit margin to decline. Is a reduction in the gross profit margin always bad news?</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Solution</w:t>
            </w:r>
          </w:p>
          <w:p>
            <w:pPr>
              <w:spacing w:after="55" w:before="0" w:line="264"/>
            </w:pPr>
            <w:r>
              <w:rPr>
                <w:rFonts w:ascii="Arial" w:cs="Arial" w:eastAsia="Malgun Gothic" w:hAnsi="Arial"/>
                <w:b w:val="false"/>
                <w:bCs w:val="false"/>
                <w:i w:val="false"/>
                <w:iCs w:val="false"/>
                <w:color w:val="1D1D1D"/>
                <w:sz w:val="21"/>
                <w:szCs w:val="21"/>
              </w:rPr>
              <w:t xml:space="preserve">Gross profit margins can decline because: </w:t>
            </w:r>
            <w:r>
              <w:rPr>
                <w:rFonts w:ascii="Arial" w:cs="Arial" w:eastAsia="Malgun Gothic" w:hAnsi="Arial"/>
                <w:b/>
                <w:bCs/>
                <w:i w:val="false"/>
                <w:iCs w:val="false"/>
                <w:color w:val="1D1D1D"/>
                <w:sz w:val="21"/>
                <w:szCs w:val="21"/>
              </w:rPr>
              <w:t xml:space="preserve">1)</w:t>
            </w:r>
            <w:r>
              <w:rPr>
                <w:rFonts w:ascii="Arial" w:cs="Arial" w:eastAsia="Malgun Gothic" w:hAnsi="Arial"/>
                <w:b w:val="false"/>
                <w:bCs w:val="false"/>
                <w:i w:val="false"/>
                <w:iCs w:val="false"/>
                <w:color w:val="1D1D1D"/>
                <w:sz w:val="21"/>
                <w:szCs w:val="21"/>
              </w:rPr>
              <w:t xml:space="preserve"> the industry has become more competitive, or the firm’s products have lost their competitive advantage so the company has had to reduce prices or is selling fewer units; </w:t>
            </w:r>
            <w:r>
              <w:rPr>
                <w:rFonts w:ascii="Arial" w:cs="Arial" w:eastAsia="Malgun Gothic" w:hAnsi="Arial"/>
                <w:b/>
                <w:bCs/>
                <w:i w:val="false"/>
                <w:iCs w:val="false"/>
                <w:color w:val="1D1D1D"/>
                <w:sz w:val="21"/>
                <w:szCs w:val="21"/>
              </w:rPr>
              <w:t xml:space="preserve">2)</w:t>
            </w:r>
            <w:r>
              <w:rPr>
                <w:rFonts w:ascii="Arial" w:cs="Arial" w:eastAsia="Malgun Gothic" w:hAnsi="Arial"/>
                <w:b w:val="false"/>
                <w:bCs w:val="false"/>
                <w:i w:val="false"/>
                <w:iCs w:val="false"/>
                <w:color w:val="1D1D1D"/>
                <w:sz w:val="21"/>
                <w:szCs w:val="21"/>
              </w:rPr>
              <w:t xml:space="preserve"> product costs have increased; or </w:t>
            </w:r>
            <w:r>
              <w:rPr>
                <w:rFonts w:ascii="Arial" w:cs="Arial" w:eastAsia="Malgun Gothic" w:hAnsi="Arial"/>
                <w:b/>
                <w:bCs/>
                <w:i w:val="false"/>
                <w:iCs w:val="false"/>
                <w:color w:val="1D1D1D"/>
                <w:sz w:val="21"/>
                <w:szCs w:val="21"/>
              </w:rPr>
              <w:t xml:space="preserve">3)</w:t>
            </w:r>
            <w:r>
              <w:rPr>
                <w:rFonts w:ascii="Arial" w:cs="Arial" w:eastAsia="Malgun Gothic" w:hAnsi="Arial"/>
                <w:b w:val="false"/>
                <w:bCs w:val="false"/>
                <w:i w:val="false"/>
                <w:iCs w:val="false"/>
                <w:color w:val="1D1D1D"/>
                <w:sz w:val="21"/>
                <w:szCs w:val="21"/>
              </w:rPr>
              <w:t xml:space="preserve"> the sales mix has shifted from higher-margin, slowly-turning products to lower-margin, higher-turning products.</w:t>
            </w:r>
          </w:p>
          <w:p>
            <w:pPr>
              <w:spacing w:after="0" w:before="0" w:line="264"/>
            </w:pPr>
            <w:r>
              <w:rPr>
                <w:rFonts w:ascii="Arial" w:cs="Arial" w:eastAsia="Malgun Gothic" w:hAnsi="Arial"/>
                <w:b w:val="false"/>
                <w:bCs w:val="false"/>
                <w:i w:val="false"/>
                <w:iCs w:val="false"/>
                <w:color w:val="1D1D1D"/>
                <w:sz w:val="21"/>
                <w:szCs w:val="21"/>
              </w:rPr>
              <w:t xml:space="preserve">Declining gross profit margins are usually viewed negatively. On the other hand, cost increases that reflect broader economic events, or certain strategic product mix changes, might </w:t>
            </w:r>
            <w:r>
              <w:rPr>
                <w:rFonts w:ascii="Arial" w:cs="Arial" w:eastAsia="Malgun Gothic" w:hAnsi="Arial"/>
                <w:b/>
                <w:bCs/>
                <w:i w:val="false"/>
                <w:iCs w:val="false"/>
                <w:color w:val="1D1D1D"/>
                <w:sz w:val="21"/>
                <w:szCs w:val="21"/>
              </w:rPr>
              <w:t xml:space="preserve">not</w:t>
            </w:r>
            <w:r>
              <w:rPr>
                <w:rFonts w:ascii="Arial" w:cs="Arial" w:eastAsia="Malgun Gothic" w:hAnsi="Arial"/>
                <w:b w:val="false"/>
                <w:bCs w:val="false"/>
                <w:i w:val="false"/>
                <w:iCs w:val="false"/>
                <w:color w:val="1D1D1D"/>
                <w:sz w:val="21"/>
                <w:szCs w:val="21"/>
              </w:rPr>
              <w:t xml:space="preserve"> be viewed negatively.</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Q5-5</w:t>
            </w:r>
          </w:p>
          <w:p>
            <w:pPr>
              <w:spacing w:after="0" w:before="0" w:line="264"/>
            </w:pPr>
            <w:r>
              <w:rPr>
                <w:rFonts w:ascii="Arial" w:cs="Arial" w:eastAsia="Malgun Gothic" w:hAnsi="Arial"/>
                <w:b w:val="false"/>
                <w:bCs w:val="false"/>
                <w:i w:val="false"/>
                <w:iCs w:val="false"/>
                <w:color w:val="1D1D1D"/>
                <w:sz w:val="21"/>
                <w:szCs w:val="21"/>
              </w:rPr>
              <w:t xml:space="preserve">Describe the concept of asset turnover. What does it mean, and why is it important to understanding financial performance?</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Solution</w:t>
            </w:r>
          </w:p>
          <w:p>
            <w:pPr>
              <w:spacing w:after="55" w:before="0" w:line="264"/>
            </w:pPr>
            <w:r>
              <w:rPr>
                <w:rFonts w:ascii="Arial" w:cs="Arial" w:eastAsia="Malgun Gothic" w:hAnsi="Arial"/>
                <w:b w:val="false"/>
                <w:bCs w:val="false"/>
                <w:i w:val="false"/>
                <w:iCs w:val="false"/>
                <w:color w:val="1D1D1D"/>
                <w:sz w:val="21"/>
                <w:szCs w:val="21"/>
              </w:rPr>
              <w:t xml:space="preserve">Asset turnover measures the amount of </w:t>
            </w:r>
            <w:r>
              <w:rPr>
                <w:rFonts w:ascii="Arial" w:cs="Arial" w:eastAsia="Malgun Gothic" w:hAnsi="Arial"/>
                <w:b/>
                <w:bCs/>
                <w:i w:val="false"/>
                <w:iCs w:val="false"/>
                <w:color w:val="1D1D1D"/>
                <w:sz w:val="21"/>
                <w:szCs w:val="21"/>
              </w:rPr>
              <w:t xml:space="preserve">revenue volume compared with the investment in an asset</w:t>
            </w:r>
            <w:r>
              <w:rPr>
                <w:rFonts w:ascii="Arial" w:cs="Arial" w:eastAsia="Malgun Gothic" w:hAnsi="Arial"/>
                <w:b w:val="false"/>
                <w:bCs w:val="false"/>
                <w:i w:val="false"/>
                <w:iCs w:val="false"/>
                <w:color w:val="1D1D1D"/>
                <w:sz w:val="21"/>
                <w:szCs w:val="21"/>
              </w:rPr>
              <w:t xml:space="preserve">. Generally we want turnover to be higher rather than lower. Turnover measures productivity, and an important company objective is to make assets as productive as possible.</w:t>
            </w:r>
          </w:p>
          <w:p>
            <w:pPr>
              <w:spacing w:after="0" w:before="0" w:line="264"/>
            </w:pPr>
            <w:r>
              <w:rPr>
                <w:rFonts w:ascii="Arial" w:cs="Arial" w:eastAsia="Malgun Gothic" w:hAnsi="Arial"/>
                <w:b w:val="false"/>
                <w:bCs w:val="false"/>
                <w:i w:val="false"/>
                <w:iCs w:val="false"/>
                <w:color w:val="1D1D1D"/>
                <w:sz w:val="21"/>
                <w:szCs w:val="21"/>
              </w:rPr>
              <w:t xml:space="preserve">Since turnover is one of the components of ROE (via ROA), increasing turnover increases shareholder value. Turnover is therefore viewed as a </w:t>
            </w:r>
            <w:r>
              <w:rPr>
                <w:rFonts w:ascii="Arial" w:cs="Arial" w:eastAsia="Malgun Gothic" w:hAnsi="Arial"/>
                <w:b/>
                <w:bCs/>
                <w:i w:val="false"/>
                <w:iCs w:val="false"/>
                <w:color w:val="1D1D1D"/>
                <w:sz w:val="21"/>
                <w:szCs w:val="21"/>
              </w:rPr>
              <w:t xml:space="preserve">value driver</w:t>
            </w:r>
            <w:r>
              <w:rPr>
                <w:rFonts w:ascii="Arial" w:cs="Arial" w:eastAsia="Malgun Gothic" w:hAnsi="Arial"/>
                <w:b w:val="false"/>
                <w:bCs w:val="false"/>
                <w:i w:val="false"/>
                <w:iCs w:val="false"/>
                <w:color w:val="1D1D1D"/>
                <w:sz w:val="21"/>
                <w:szCs w:val="21"/>
              </w:rPr>
              <w:t xml:space="preserve">.</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Q5-6</w:t>
            </w:r>
          </w:p>
          <w:p>
            <w:pPr>
              <w:spacing w:after="0" w:before="0" w:line="264"/>
            </w:pPr>
            <w:r>
              <w:rPr>
                <w:rFonts w:ascii="Arial" w:cs="Arial" w:eastAsia="Malgun Gothic" w:hAnsi="Arial"/>
                <w:b w:val="false"/>
                <w:bCs w:val="false"/>
                <w:i w:val="false"/>
                <w:iCs w:val="false"/>
                <w:color w:val="1D1D1D"/>
                <w:sz w:val="21"/>
                <w:szCs w:val="21"/>
              </w:rPr>
              <w:t xml:space="preserve">Explain what it means when a company’s ROE exceeds its ROA.</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Solution</w:t>
            </w:r>
          </w:p>
          <w:p>
            <w:pPr>
              <w:spacing w:after="0" w:before="0" w:line="264"/>
            </w:pPr>
            <w:r>
              <w:rPr>
                <w:rFonts w:ascii="Arial" w:cs="Arial" w:eastAsia="Malgun Gothic" w:hAnsi="Arial"/>
                <w:b w:val="false"/>
                <w:bCs w:val="false"/>
                <w:i w:val="false"/>
                <w:iCs w:val="false"/>
                <w:color w:val="1D1D1D"/>
                <w:sz w:val="21"/>
                <w:szCs w:val="21"/>
              </w:rPr>
              <w:t xml:space="preserve">ROE &gt; ROA implies a </w:t>
            </w:r>
            <w:r>
              <w:rPr>
                <w:rFonts w:ascii="Arial" w:cs="Arial" w:eastAsia="Malgun Gothic" w:hAnsi="Arial"/>
                <w:b/>
                <w:bCs/>
                <w:i w:val="false"/>
                <w:iCs w:val="false"/>
                <w:color w:val="1D1D1D"/>
                <w:sz w:val="21"/>
                <w:szCs w:val="21"/>
              </w:rPr>
              <w:t xml:space="preserve">positive return on financial leverage</w:t>
            </w:r>
            <w:r>
              <w:rPr>
                <w:rFonts w:ascii="Arial" w:cs="Arial" w:eastAsia="Malgun Gothic" w:hAnsi="Arial"/>
                <w:b w:val="false"/>
                <w:bCs w:val="false"/>
                <w:i w:val="false"/>
                <w:iCs w:val="false"/>
                <w:color w:val="1D1D1D"/>
                <w:sz w:val="21"/>
                <w:szCs w:val="21"/>
              </w:rPr>
              <w:t xml:space="preserve">. This results from borrowed funds being invested in operating assets whose return (ROA) exceeds the cost of borrowing. In this case, borrowing money increases ROE.</w:t>
            </w:r>
          </w:p>
        </w:tc>
      </w:tr>
    </w:tbl>
    <w:p>
      <w:pPr>
        <w:spacing w:after="150" w:line="60"/>
      </w:pPr>
    </w:p>
    <w:p>
      <w:pPr>
        <w:pageBreakBefore/>
        <w:spacing w:after="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Q5-8</w:t>
            </w:r>
          </w:p>
          <w:p>
            <w:pPr>
              <w:spacing w:after="0" w:before="0" w:line="264"/>
            </w:pPr>
            <w:r>
              <w:rPr>
                <w:rFonts w:ascii="Arial" w:cs="Arial" w:eastAsia="Malgun Gothic" w:hAnsi="Arial"/>
                <w:b w:val="false"/>
                <w:bCs w:val="false"/>
                <w:i w:val="false"/>
                <w:iCs w:val="false"/>
                <w:color w:val="1D1D1D"/>
                <w:sz w:val="21"/>
                <w:szCs w:val="21"/>
              </w:rPr>
              <w:t xml:space="preserve">How does a firm go about increasing its asset turnover ratio? What strategies are likely to be most effective?</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Solution</w:t>
            </w:r>
          </w:p>
          <w:p>
            <w:pPr>
              <w:spacing w:after="55" w:before="0" w:line="264"/>
            </w:pPr>
            <w:r>
              <w:rPr>
                <w:rFonts w:ascii="Arial" w:cs="Arial" w:eastAsia="Malgun Gothic" w:hAnsi="Arial"/>
                <w:b w:val="false"/>
                <w:bCs w:val="false"/>
                <w:i w:val="false"/>
                <w:iCs w:val="false"/>
                <w:color w:val="1D1D1D"/>
                <w:sz w:val="21"/>
                <w:szCs w:val="21"/>
              </w:rPr>
              <w:t xml:space="preserve">The asset turnover ratio (AT) is the ratio of sales revenue to average total assets. It is increased by </w:t>
            </w:r>
            <w:r>
              <w:rPr>
                <w:rFonts w:ascii="Arial" w:cs="Arial" w:eastAsia="Malgun Gothic" w:hAnsi="Arial"/>
                <w:b/>
                <w:bCs/>
                <w:i w:val="false"/>
                <w:iCs w:val="false"/>
                <w:color w:val="1D1D1D"/>
                <w:sz w:val="21"/>
                <w:szCs w:val="21"/>
              </w:rPr>
              <w:t xml:space="preserve">increasing sales while holding assets constant</w:t>
            </w:r>
            <w:r>
              <w:rPr>
                <w:rFonts w:ascii="Arial" w:cs="Arial" w:eastAsia="Malgun Gothic" w:hAnsi="Arial"/>
                <w:b w:val="false"/>
                <w:bCs w:val="false"/>
                <w:i w:val="false"/>
                <w:iCs w:val="false"/>
                <w:color w:val="1D1D1D"/>
                <w:sz w:val="21"/>
                <w:szCs w:val="21"/>
              </w:rPr>
              <w:t xml:space="preserve">, or by </w:t>
            </w:r>
            <w:r>
              <w:rPr>
                <w:rFonts w:ascii="Arial" w:cs="Arial" w:eastAsia="Malgun Gothic" w:hAnsi="Arial"/>
                <w:b/>
                <w:bCs/>
                <w:i w:val="false"/>
                <w:iCs w:val="false"/>
                <w:color w:val="1D1D1D"/>
                <w:sz w:val="21"/>
                <w:szCs w:val="21"/>
              </w:rPr>
              <w:t xml:space="preserve">reducing assets without reducing sales</w:t>
            </w:r>
            <w:r>
              <w:rPr>
                <w:rFonts w:ascii="Arial" w:cs="Arial" w:eastAsia="Malgun Gothic" w:hAnsi="Arial"/>
                <w:b w:val="false"/>
                <w:bCs w:val="false"/>
                <w:i w:val="false"/>
                <w:iCs w:val="false"/>
                <w:color w:val="1D1D1D"/>
                <w:sz w:val="21"/>
                <w:szCs w:val="21"/>
              </w:rPr>
              <w:t xml:space="preserve">.</w:t>
            </w:r>
          </w:p>
          <w:p>
            <w:pPr>
              <w:spacing w:after="0" w:before="0" w:line="264"/>
            </w:pPr>
            <w:r>
              <w:rPr>
                <w:rFonts w:ascii="Arial" w:cs="Arial" w:eastAsia="Malgun Gothic" w:hAnsi="Arial"/>
                <w:b w:val="false"/>
                <w:bCs w:val="false"/>
                <w:i w:val="false"/>
                <w:iCs w:val="false"/>
                <w:color w:val="1D1D1D"/>
                <w:sz w:val="21"/>
                <w:szCs w:val="21"/>
              </w:rPr>
              <w:t xml:space="preserve">The most effective means of improving the ratio is to increase the efficient utilization of operating assets — improving inventory management practices, improving accounts receivable collection, and improving the efficient use of PP&amp;E.</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Q5-9</w:t>
            </w:r>
          </w:p>
          <w:p>
            <w:pPr>
              <w:spacing w:after="0" w:before="0" w:line="264"/>
            </w:pPr>
            <w:r>
              <w:rPr>
                <w:rFonts w:ascii="Arial" w:cs="Arial" w:eastAsia="Malgun Gothic" w:hAnsi="Arial"/>
                <w:b w:val="false"/>
                <w:bCs w:val="false"/>
                <w:i w:val="false"/>
                <w:iCs w:val="false"/>
                <w:color w:val="1D1D1D"/>
                <w:sz w:val="21"/>
                <w:szCs w:val="21"/>
              </w:rPr>
              <w:t xml:space="preserve">What is meant by the term "net" in net operating assets (NOA)?</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Solution</w:t>
            </w:r>
          </w:p>
          <w:p>
            <w:pPr>
              <w:spacing w:after="55" w:before="0" w:line="264"/>
            </w:pPr>
            <w:r>
              <w:rPr>
                <w:rFonts w:ascii="Arial" w:cs="Arial" w:eastAsia="Malgun Gothic" w:hAnsi="Arial"/>
                <w:b w:val="false"/>
                <w:bCs w:val="false"/>
                <w:i w:val="false"/>
                <w:iCs w:val="false"/>
                <w:color w:val="1D1D1D"/>
                <w:sz w:val="21"/>
                <w:szCs w:val="21"/>
              </w:rPr>
              <w:t xml:space="preserve">The "net" in net operating assets means operating assets </w:t>
            </w:r>
            <w:r>
              <w:rPr>
                <w:rFonts w:ascii="Arial" w:cs="Arial" w:eastAsia="Malgun Gothic" w:hAnsi="Arial"/>
                <w:b/>
                <w:bCs/>
                <w:i w:val="false"/>
                <w:iCs w:val="false"/>
                <w:color w:val="1D1D1D"/>
                <w:sz w:val="21"/>
                <w:szCs w:val="21"/>
              </w:rPr>
              <w:t xml:space="preserve">net of operating liabilities</w:t>
            </w:r>
            <w:r>
              <w:rPr>
                <w:rFonts w:ascii="Arial" w:cs="Arial" w:eastAsia="Malgun Gothic" w:hAnsi="Arial"/>
                <w:b w:val="false"/>
                <w:bCs w:val="false"/>
                <w:i w:val="false"/>
                <w:iCs w:val="false"/>
                <w:color w:val="1D1D1D"/>
                <w:sz w:val="21"/>
                <w:szCs w:val="21"/>
              </w:rPr>
              <w:t xml:space="preserve">. This netting recognizes that a portion of the cost of operating assets is financed by parties other than the company.</w:t>
            </w:r>
          </w:p>
          <w:p>
            <w:pPr>
              <w:spacing w:after="0" w:before="0" w:line="264"/>
            </w:pPr>
            <w:r>
              <w:rPr>
                <w:rFonts w:ascii="Arial" w:cs="Arial" w:eastAsia="Malgun Gothic" w:hAnsi="Arial"/>
                <w:b w:val="false"/>
                <w:bCs w:val="false"/>
                <w:i w:val="false"/>
                <w:iCs w:val="false"/>
                <w:color w:val="1D1D1D"/>
                <w:sz w:val="21"/>
                <w:szCs w:val="21"/>
              </w:rPr>
              <w:t xml:space="preserve">For example, payables and accrued expenses help fund inventories, wages, utilities, and other operating costs. Similarly, long-term operating liabilities help finance long-term operating assets, so they are deducted from those assets.</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Q5-10</w:t>
            </w:r>
          </w:p>
          <w:p>
            <w:pPr>
              <w:spacing w:after="0" w:before="0" w:line="264"/>
            </w:pPr>
            <w:r>
              <w:rPr>
                <w:rFonts w:ascii="Arial" w:cs="Arial" w:eastAsia="Malgun Gothic" w:hAnsi="Arial"/>
                <w:b w:val="false"/>
                <w:bCs w:val="false"/>
                <w:i w:val="false"/>
                <w:iCs w:val="false"/>
                <w:color w:val="1D1D1D"/>
                <w:sz w:val="21"/>
                <w:szCs w:val="21"/>
              </w:rPr>
              <w:t xml:space="preserve">Why is it important to disaggregate ROA into profit margin (PM) and asset turnover (AT)?</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Solution</w:t>
            </w:r>
          </w:p>
          <w:p>
            <w:pPr>
              <w:spacing w:after="0" w:before="0" w:line="264"/>
            </w:pPr>
            <w:r>
              <w:rPr>
                <w:rFonts w:ascii="Arial" w:cs="Arial" w:eastAsia="Malgun Gothic" w:hAnsi="Arial"/>
                <w:b w:val="false"/>
                <w:bCs w:val="false"/>
                <w:i w:val="false"/>
                <w:iCs w:val="false"/>
                <w:color w:val="1D1D1D"/>
                <w:sz w:val="21"/>
                <w:szCs w:val="21"/>
              </w:rPr>
              <w:t xml:space="preserve">Companies must manage </w:t>
            </w:r>
            <w:r>
              <w:rPr>
                <w:rFonts w:ascii="Arial" w:cs="Arial" w:eastAsia="Malgun Gothic" w:hAnsi="Arial"/>
                <w:b/>
                <w:bCs/>
                <w:i w:val="false"/>
                <w:iCs w:val="false"/>
                <w:color w:val="1D1D1D"/>
                <w:sz w:val="21"/>
                <w:szCs w:val="21"/>
              </w:rPr>
              <w:t xml:space="preserve">both the income statement and the balance sheet</w:t>
            </w:r>
            <w:r>
              <w:rPr>
                <w:rFonts w:ascii="Arial" w:cs="Arial" w:eastAsia="Malgun Gothic" w:hAnsi="Arial"/>
                <w:b w:val="false"/>
                <w:bCs w:val="false"/>
                <w:i w:val="false"/>
                <w:iCs w:val="false"/>
                <w:color w:val="1D1D1D"/>
                <w:sz w:val="21"/>
                <w:szCs w:val="21"/>
              </w:rPr>
              <w:t xml:space="preserve"> in order to maximize ROA. This is important because many managers look only to the income statement and do not fully appreciate the value added by effective balance sheet management. Disaggregating ROA into its profit margin and turnover components facilitates analysis of these two areas of focus.</w:t>
            </w:r>
          </w:p>
        </w:tc>
      </w:tr>
    </w:tbl>
    <w:p>
      <w:pPr>
        <w:spacing w:after="150" w:line="60"/>
      </w:pPr>
    </w:p>
    <w:tbl>
      <w:tblPr>
        <w:tblW w:type="dxa" w:w="9360"/>
        <w:tblBorders>
          <w:top w:val="single" w:color="3B82F6" w:sz="6"/>
          <w:left w:val="single" w:color="3B82F6" w:sz="6"/>
          <w:bottom w:val="single" w:color="3B82F6" w:sz="6"/>
          <w:right w:val="single" w:color="3B82F6" w:sz="6"/>
          <w:insideH w:val="none" w:color="FFFFFF" w:sz="0"/>
          <w:insideV w:val="none" w:color="FFFFFF" w:sz="0"/>
        </w:tblBorders>
        <w:tblLayout w:type="fixed"/>
      </w:tblPr>
      <w:tblGrid>
        <w:gridCol w:w="9360"/>
      </w:tblGrid>
      <w:tr>
        <w:trPr>
          <w:cantSplit/>
        </w:trPr>
        <w:tc>
          <w:tcPr>
            <w:tcW w:type="dxa" w:w="9360"/>
            <w:shd w:fill="EFF6FF"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1F4899"/>
                <w:sz w:val="22"/>
                <w:szCs w:val="22"/>
              </w:rPr>
              <w:t xml:space="preserve">Q5-12</w:t>
            </w:r>
          </w:p>
          <w:p>
            <w:pPr>
              <w:spacing w:after="0" w:before="0" w:line="264"/>
            </w:pPr>
            <w:r>
              <w:rPr>
                <w:rFonts w:ascii="Arial" w:cs="Arial" w:eastAsia="Malgun Gothic" w:hAnsi="Arial"/>
                <w:b w:val="false"/>
                <w:bCs w:val="false"/>
                <w:i w:val="false"/>
                <w:iCs w:val="false"/>
                <w:color w:val="1D1D1D"/>
                <w:sz w:val="21"/>
                <w:szCs w:val="21"/>
              </w:rPr>
              <w:t xml:space="preserve">Explain the concept of liquidity and why it is crucial to company survival.</w:t>
            </w:r>
          </w:p>
        </w:tc>
      </w:tr>
    </w:tbl>
    <w:p>
      <w:pPr>
        <w:spacing w:after="9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Solution</w:t>
            </w:r>
          </w:p>
          <w:p>
            <w:pPr>
              <w:spacing w:after="0" w:before="0" w:line="264"/>
            </w:pPr>
            <w:r>
              <w:rPr>
                <w:rFonts w:ascii="Arial" w:cs="Arial" w:eastAsia="Malgun Gothic" w:hAnsi="Arial"/>
                <w:b w:val="false"/>
                <w:bCs w:val="false"/>
                <w:i w:val="false"/>
                <w:iCs w:val="false"/>
                <w:color w:val="1D1D1D"/>
                <w:sz w:val="21"/>
                <w:szCs w:val="21"/>
              </w:rPr>
              <w:t xml:space="preserve">Liquidity refers to </w:t>
            </w:r>
            <w:r>
              <w:rPr>
                <w:rFonts w:ascii="Arial" w:cs="Arial" w:eastAsia="Malgun Gothic" w:hAnsi="Arial"/>
                <w:b/>
                <w:bCs/>
                <w:i w:val="false"/>
                <w:iCs w:val="false"/>
                <w:color w:val="1D1D1D"/>
                <w:sz w:val="21"/>
                <w:szCs w:val="21"/>
              </w:rPr>
              <w:t xml:space="preserve">how much cash a company has, how much cash is coming in, and how much cash can be raised quickly</w:t>
            </w:r>
            <w:r>
              <w:rPr>
                <w:rFonts w:ascii="Arial" w:cs="Arial" w:eastAsia="Malgun Gothic" w:hAnsi="Arial"/>
                <w:b w:val="false"/>
                <w:bCs w:val="false"/>
                <w:i w:val="false"/>
                <w:iCs w:val="false"/>
                <w:color w:val="1D1D1D"/>
                <w:sz w:val="21"/>
                <w:szCs w:val="21"/>
              </w:rPr>
              <w:t xml:space="preserve">. Companies must generate cash in order to pay their debts, pay their employees, and provide their shareholders a return on investment. Cash is therefore critical to a company’s survival.</w:t>
            </w:r>
          </w:p>
        </w:tc>
      </w:tr>
    </w:tbl>
    <w:p>
      <w:pPr>
        <w:spacing w:after="150" w:line="60"/>
      </w:pPr>
    </w:p>
    <w:p>
      <w:pPr>
        <w:pageBreakBefore/>
        <w:spacing w:after="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E5-28  ·  Compute, Disaggregate, and Interpret ROE — Intel Corporation</w:t>
            </w:r>
          </w:p>
        </w:tc>
      </w:tr>
    </w:tbl>
    <w:p>
      <w:pPr>
        <w:spacing w:after="150" w:line="60"/>
      </w:pPr>
    </w:p>
    <w:p>
      <w:pPr>
        <w:keepNext/>
        <w:spacing w:after="60" w:line="250"/>
      </w:pPr>
      <w:r>
        <w:rPr>
          <w:rFonts w:ascii="Arial" w:cs="Arial" w:eastAsia="Malgun Gothic" w:hAnsi="Arial"/>
          <w:b/>
          <w:bCs/>
          <w:i w:val="false"/>
          <w:iCs w:val="false"/>
          <w:color w:val="1F4899"/>
          <w:sz w:val="20"/>
          <w:szCs w:val="20"/>
        </w:rPr>
        <w:t xml:space="preserve">Selected data ($ millions)</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4560"/>
        <w:gridCol w:w="2400"/>
        <w:gridCol w:w="2400"/>
      </w:tblGrid>
      <w:tr>
        <w:trPr>
          <w:tblHeader/>
        </w:trPr>
        <w:tc>
          <w:tcPr>
            <w:tcW w:type="dxa" w:w="456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Description</w:t>
            </w:r>
          </w:p>
        </w:tc>
        <w:tc>
          <w:tcPr>
            <w:tcW w:type="dxa" w:w="240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2020</w:t>
            </w:r>
          </w:p>
        </w:tc>
        <w:tc>
          <w:tcPr>
            <w:tcW w:type="dxa" w:w="240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2019</w:t>
            </w:r>
          </w:p>
        </w:tc>
      </w:tr>
      <w:tr>
        <w:tc>
          <w:tcPr>
            <w:tcW w:type="dxa" w:w="456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Total assets</w:t>
            </w:r>
          </w:p>
        </w:tc>
        <w:tc>
          <w:tcPr>
            <w:tcW w:type="dxa" w:w="24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153,091</w:t>
            </w:r>
          </w:p>
        </w:tc>
        <w:tc>
          <w:tcPr>
            <w:tcW w:type="dxa" w:w="24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136,524</w:t>
            </w:r>
          </w:p>
        </w:tc>
      </w:tr>
      <w:tr>
        <w:tc>
          <w:tcPr>
            <w:tcW w:type="dxa" w:w="456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Total shareholders’ equity</w:t>
            </w:r>
          </w:p>
        </w:tc>
        <w:tc>
          <w:tcPr>
            <w:tcW w:type="dxa" w:w="240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81,038</w:t>
            </w:r>
          </w:p>
        </w:tc>
        <w:tc>
          <w:tcPr>
            <w:tcW w:type="dxa" w:w="240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77,659</w:t>
            </w:r>
          </w:p>
        </w:tc>
      </w:tr>
      <w:tr>
        <w:tc>
          <w:tcPr>
            <w:tcW w:type="dxa" w:w="456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Sales revenue</w:t>
            </w:r>
          </w:p>
        </w:tc>
        <w:tc>
          <w:tcPr>
            <w:tcW w:type="dxa" w:w="24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77,867</w:t>
            </w:r>
          </w:p>
        </w:tc>
        <w:tc>
          <w:tcPr>
            <w:tcW w:type="dxa" w:w="24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71,965</w:t>
            </w:r>
          </w:p>
        </w:tc>
      </w:tr>
      <w:tr>
        <w:tc>
          <w:tcPr>
            <w:tcW w:type="dxa" w:w="456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Interest expense</w:t>
            </w:r>
          </w:p>
        </w:tc>
        <w:tc>
          <w:tcPr>
            <w:tcW w:type="dxa" w:w="240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629</w:t>
            </w:r>
          </w:p>
        </w:tc>
        <w:tc>
          <w:tcPr>
            <w:tcW w:type="dxa" w:w="240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489</w:t>
            </w:r>
          </w:p>
        </w:tc>
      </w:tr>
      <w:tr>
        <w:tc>
          <w:tcPr>
            <w:tcW w:type="dxa" w:w="4560"/>
            <w:tcBorders>
              <w:top w:val="single" w:color="1F4899" w:sz="6"/>
            </w:tcBorders>
            <w:shd w:fill="E8EEF8"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bCs/>
                <w:i w:val="false"/>
                <w:iCs w:val="false"/>
                <w:color w:val="1D1D1D"/>
                <w:sz w:val="19"/>
                <w:szCs w:val="19"/>
              </w:rPr>
              <w:t xml:space="preserve">Net income</w:t>
            </w:r>
          </w:p>
        </w:tc>
        <w:tc>
          <w:tcPr>
            <w:tcW w:type="dxa" w:w="2400"/>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20,899</w:t>
            </w:r>
          </w:p>
        </w:tc>
        <w:tc>
          <w:tcPr>
            <w:tcW w:type="dxa" w:w="2400"/>
            <w:tcBorders>
              <w:top w:val="single" w:color="1F4899" w:sz="6"/>
            </w:tcBorders>
            <w:shd w:fill="E8EEF8"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bCs/>
                <w:i w:val="false"/>
                <w:iCs w:val="false"/>
                <w:color w:val="1D1D1D"/>
                <w:sz w:val="19"/>
                <w:szCs w:val="19"/>
              </w:rPr>
              <w:t xml:space="preserve">21,048</w:t>
            </w:r>
          </w:p>
        </w:tc>
      </w:tr>
    </w:tbl>
    <w:p>
      <w:pPr>
        <w:spacing w:after="16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a.  Return on equity (ROE)</w:t>
            </w:r>
          </w:p>
          <w:p>
            <w:pPr>
              <w:spacing w:after="55" w:before="0" w:line="264"/>
            </w:pPr>
            <w:r>
              <w:rPr>
                <w:rFonts w:ascii="Arial" w:cs="Arial" w:eastAsia="Malgun Gothic" w:hAnsi="Arial"/>
                <w:b w:val="false"/>
                <w:bCs w:val="false"/>
                <w:i w:val="false"/>
                <w:iCs w:val="false"/>
                <w:color w:val="1D1D1D"/>
                <w:sz w:val="21"/>
                <w:szCs w:val="21"/>
              </w:rPr>
              <w:t xml:space="preserve">2020:  $20,899 / [($81,038 + $77,659) / 2] = </w:t>
            </w:r>
            <w:r>
              <w:rPr>
                <w:rFonts w:ascii="Arial" w:cs="Arial" w:eastAsia="Malgun Gothic" w:hAnsi="Arial"/>
                <w:b/>
                <w:bCs/>
                <w:i w:val="false"/>
                <w:iCs w:val="false"/>
                <w:color w:val="1D1D1D"/>
                <w:sz w:val="21"/>
                <w:szCs w:val="21"/>
              </w:rPr>
              <w:t xml:space="preserve">26.34%</w:t>
            </w:r>
          </w:p>
          <w:p>
            <w:pPr>
              <w:spacing w:after="0" w:before="0" w:line="264"/>
            </w:pPr>
            <w:r>
              <w:rPr>
                <w:rFonts w:ascii="Arial" w:cs="Arial" w:eastAsia="Malgun Gothic" w:hAnsi="Arial"/>
                <w:b w:val="false"/>
                <w:bCs w:val="false"/>
                <w:i w:val="false"/>
                <w:iCs w:val="false"/>
                <w:color w:val="1D1D1D"/>
                <w:sz w:val="21"/>
                <w:szCs w:val="21"/>
              </w:rPr>
              <w:t xml:space="preserve">2019:  $21,048 / [($77,659 + $74,982) / 2] = </w:t>
            </w:r>
            <w:r>
              <w:rPr>
                <w:rFonts w:ascii="Arial" w:cs="Arial" w:eastAsia="Malgun Gothic" w:hAnsi="Arial"/>
                <w:b/>
                <w:bCs/>
                <w:i w:val="false"/>
                <w:iCs w:val="false"/>
                <w:color w:val="1D1D1D"/>
                <w:sz w:val="21"/>
                <w:szCs w:val="21"/>
              </w:rPr>
              <w:t xml:space="preserve">27.58%</w:t>
            </w:r>
          </w:p>
        </w:tc>
      </w:tr>
    </w:tbl>
    <w:p>
      <w:pPr>
        <w:spacing w:after="15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b.  ROA and ROFL   (statutory tax rate 25%)</w:t>
            </w:r>
          </w:p>
          <w:p>
            <w:pPr>
              <w:spacing w:after="55" w:before="0" w:line="264"/>
            </w:pPr>
            <w:r>
              <w:rPr>
                <w:rFonts w:ascii="Arial" w:cs="Arial" w:eastAsia="Malgun Gothic" w:hAnsi="Arial"/>
                <w:b w:val="false"/>
                <w:bCs w:val="false"/>
                <w:i w:val="false"/>
                <w:iCs w:val="false"/>
                <w:color w:val="1D1D1D"/>
                <w:sz w:val="21"/>
                <w:szCs w:val="21"/>
              </w:rPr>
              <w:t xml:space="preserve">ROA 2020:  [$20,899 + $629 × (1 − 0.25)] / [($153,091 + $136,524) / 2] = </w:t>
            </w:r>
            <w:r>
              <w:rPr>
                <w:rFonts w:ascii="Arial" w:cs="Arial" w:eastAsia="Malgun Gothic" w:hAnsi="Arial"/>
                <w:b/>
                <w:bCs/>
                <w:i w:val="false"/>
                <w:iCs w:val="false"/>
                <w:color w:val="1D1D1D"/>
                <w:sz w:val="21"/>
                <w:szCs w:val="21"/>
              </w:rPr>
              <w:t xml:space="preserve">14.76%</w:t>
            </w:r>
          </w:p>
          <w:p>
            <w:pPr>
              <w:spacing w:after="55" w:before="0" w:line="264"/>
            </w:pPr>
            <w:r>
              <w:rPr>
                <w:rFonts w:ascii="Arial" w:cs="Arial" w:eastAsia="Malgun Gothic" w:hAnsi="Arial"/>
                <w:b w:val="false"/>
                <w:bCs w:val="false"/>
                <w:i w:val="false"/>
                <w:iCs w:val="false"/>
                <w:color w:val="1D1D1D"/>
                <w:sz w:val="21"/>
                <w:szCs w:val="21"/>
              </w:rPr>
              <w:t xml:space="preserve">ROA 2019:  [$21,048 + $489 × (1 − 0.25)] / [($136,524 + $127,963) / 2] = </w:t>
            </w:r>
            <w:r>
              <w:rPr>
                <w:rFonts w:ascii="Arial" w:cs="Arial" w:eastAsia="Malgun Gothic" w:hAnsi="Arial"/>
                <w:b/>
                <w:bCs/>
                <w:i w:val="false"/>
                <w:iCs w:val="false"/>
                <w:color w:val="1D1D1D"/>
                <w:sz w:val="21"/>
                <w:szCs w:val="21"/>
              </w:rPr>
              <w:t xml:space="preserve">16.19%</w:t>
            </w:r>
          </w:p>
          <w:p>
            <w:pPr>
              <w:spacing w:after="55" w:before="0" w:line="264"/>
            </w:pPr>
            <w:r>
              <w:rPr>
                <w:rFonts w:ascii="Arial" w:cs="Arial" w:eastAsia="Malgun Gothic" w:hAnsi="Arial"/>
                <w:b w:val="false"/>
                <w:bCs w:val="false"/>
                <w:i w:val="false"/>
                <w:iCs w:val="false"/>
                <w:color w:val="1D1D1D"/>
                <w:sz w:val="21"/>
                <w:szCs w:val="21"/>
              </w:rPr>
              <w:t xml:space="preserve">ROFL 2020:  26.34% − 14.76% = </w:t>
            </w:r>
            <w:r>
              <w:rPr>
                <w:rFonts w:ascii="Arial" w:cs="Arial" w:eastAsia="Malgun Gothic" w:hAnsi="Arial"/>
                <w:b/>
                <w:bCs/>
                <w:i w:val="false"/>
                <w:iCs w:val="false"/>
                <w:color w:val="1D1D1D"/>
                <w:sz w:val="21"/>
                <w:szCs w:val="21"/>
              </w:rPr>
              <w:t xml:space="preserve">11.58%</w:t>
            </w:r>
          </w:p>
          <w:p>
            <w:pPr>
              <w:spacing w:after="55" w:before="0" w:line="264"/>
            </w:pPr>
            <w:r>
              <w:rPr>
                <w:rFonts w:ascii="Arial" w:cs="Arial" w:eastAsia="Malgun Gothic" w:hAnsi="Arial"/>
                <w:b w:val="false"/>
                <w:bCs w:val="false"/>
                <w:i w:val="false"/>
                <w:iCs w:val="false"/>
                <w:color w:val="1D1D1D"/>
                <w:sz w:val="21"/>
                <w:szCs w:val="21"/>
              </w:rPr>
              <w:t xml:space="preserve">ROFL 2019:  27.58% − 16.19% = </w:t>
            </w:r>
            <w:r>
              <w:rPr>
                <w:rFonts w:ascii="Arial" w:cs="Arial" w:eastAsia="Malgun Gothic" w:hAnsi="Arial"/>
                <w:b/>
                <w:bCs/>
                <w:i w:val="false"/>
                <w:iCs w:val="false"/>
                <w:color w:val="1D1D1D"/>
                <w:sz w:val="21"/>
                <w:szCs w:val="21"/>
              </w:rPr>
              <w:t xml:space="preserve">11.39%</w:t>
            </w:r>
          </w:p>
          <w:p>
            <w:pPr>
              <w:spacing w:after="0" w:before="0" w:line="264"/>
            </w:pPr>
            <w:r>
              <w:rPr>
                <w:rFonts w:ascii="Arial" w:cs="Arial" w:eastAsia="Malgun Gothic" w:hAnsi="Arial"/>
                <w:b w:val="false"/>
                <w:bCs w:val="false"/>
                <w:i w:val="false"/>
                <w:iCs w:val="false"/>
                <w:color w:val="1D1D1D"/>
                <w:sz w:val="21"/>
                <w:szCs w:val="21"/>
              </w:rPr>
              <w:t xml:space="preserve">ROFL is positive, so </w:t>
            </w:r>
            <w:r>
              <w:rPr>
                <w:rFonts w:ascii="Arial" w:cs="Arial" w:eastAsia="Malgun Gothic" w:hAnsi="Arial"/>
                <w:b/>
                <w:bCs/>
                <w:i w:val="false"/>
                <w:iCs w:val="false"/>
                <w:color w:val="1D1D1D"/>
                <w:sz w:val="21"/>
                <w:szCs w:val="21"/>
              </w:rPr>
              <w:t xml:space="preserve">leverage is working in favor of Intel’s shareholders</w:t>
            </w:r>
            <w:r>
              <w:rPr>
                <w:rFonts w:ascii="Arial" w:cs="Arial" w:eastAsia="Malgun Gothic" w:hAnsi="Arial"/>
                <w:b w:val="false"/>
                <w:bCs w:val="false"/>
                <w:i w:val="false"/>
                <w:iCs w:val="false"/>
                <w:color w:val="1D1D1D"/>
                <w:sz w:val="21"/>
                <w:szCs w:val="21"/>
              </w:rPr>
              <w:t xml:space="preserve">.</w:t>
            </w:r>
          </w:p>
        </w:tc>
      </w:tr>
    </w:tbl>
    <w:p>
      <w:pPr>
        <w:spacing w:after="150" w:line="60"/>
      </w:pPr>
    </w:p>
    <w:p>
      <w:pPr>
        <w:keepNext/>
        <w:spacing w:after="60" w:line="250"/>
      </w:pPr>
      <w:r>
        <w:rPr>
          <w:rFonts w:ascii="Arial" w:cs="Arial" w:eastAsia="Malgun Gothic" w:hAnsi="Arial"/>
          <w:b/>
          <w:bCs/>
          <w:i w:val="false"/>
          <w:iCs w:val="false"/>
          <w:color w:val="1F4899"/>
          <w:sz w:val="20"/>
          <w:szCs w:val="20"/>
        </w:rPr>
        <w:t xml:space="preserve">c.  DuPont disaggregation</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4560"/>
        <w:gridCol w:w="2400"/>
        <w:gridCol w:w="2400"/>
      </w:tblGrid>
      <w:tr>
        <w:trPr>
          <w:tblHeader/>
        </w:trPr>
        <w:tc>
          <w:tcPr>
            <w:tcW w:type="dxa" w:w="456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Component</w:t>
            </w:r>
          </w:p>
        </w:tc>
        <w:tc>
          <w:tcPr>
            <w:tcW w:type="dxa" w:w="240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2020</w:t>
            </w:r>
          </w:p>
        </w:tc>
        <w:tc>
          <w:tcPr>
            <w:tcW w:type="dxa" w:w="240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2019</w:t>
            </w:r>
          </w:p>
        </w:tc>
      </w:tr>
      <w:tr>
        <w:tc>
          <w:tcPr>
            <w:tcW w:type="dxa" w:w="456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Net profit margin</w:t>
            </w:r>
          </w:p>
        </w:tc>
        <w:tc>
          <w:tcPr>
            <w:tcW w:type="dxa" w:w="24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26.84%</w:t>
            </w:r>
          </w:p>
        </w:tc>
        <w:tc>
          <w:tcPr>
            <w:tcW w:type="dxa" w:w="24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29.25%</w:t>
            </w:r>
          </w:p>
        </w:tc>
      </w:tr>
      <w:tr>
        <w:tc>
          <w:tcPr>
            <w:tcW w:type="dxa" w:w="456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Asset turnover</w:t>
            </w:r>
          </w:p>
        </w:tc>
        <w:tc>
          <w:tcPr>
            <w:tcW w:type="dxa" w:w="240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0.538</w:t>
            </w:r>
          </w:p>
        </w:tc>
        <w:tc>
          <w:tcPr>
            <w:tcW w:type="dxa" w:w="240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0.544</w:t>
            </w:r>
          </w:p>
        </w:tc>
      </w:tr>
      <w:tr>
        <w:tc>
          <w:tcPr>
            <w:tcW w:type="dxa" w:w="456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Financial leverage</w:t>
            </w:r>
          </w:p>
        </w:tc>
        <w:tc>
          <w:tcPr>
            <w:tcW w:type="dxa" w:w="24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1.825</w:t>
            </w:r>
          </w:p>
        </w:tc>
        <w:tc>
          <w:tcPr>
            <w:tcW w:type="dxa" w:w="24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1.733</w:t>
            </w:r>
          </w:p>
        </w:tc>
      </w:tr>
      <w:tr>
        <w:tc>
          <w:tcPr>
            <w:tcW w:type="dxa" w:w="456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PM ratio (for comparison)</w:t>
            </w:r>
          </w:p>
        </w:tc>
        <w:tc>
          <w:tcPr>
            <w:tcW w:type="dxa" w:w="240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27.45%</w:t>
            </w:r>
          </w:p>
        </w:tc>
        <w:tc>
          <w:tcPr>
            <w:tcW w:type="dxa" w:w="240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29.76%</w:t>
            </w:r>
          </w:p>
        </w:tc>
      </w:tr>
    </w:tbl>
    <w:p>
      <w:pPr>
        <w:spacing w:after="16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Interpretation</w:t>
            </w:r>
          </w:p>
          <w:p>
            <w:pPr>
              <w:spacing w:after="55" w:before="0" w:line="264"/>
            </w:pPr>
            <w:r>
              <w:rPr>
                <w:rFonts w:ascii="Arial" w:cs="Arial" w:eastAsia="Malgun Gothic" w:hAnsi="Arial"/>
                <w:b w:val="false"/>
                <w:bCs w:val="false"/>
                <w:i w:val="false"/>
                <w:iCs w:val="false"/>
                <w:color w:val="1D1D1D"/>
                <w:sz w:val="21"/>
                <w:szCs w:val="21"/>
              </w:rPr>
              <w:t xml:space="preserve">Intel’s financial leverage increased slightly from 2019 to 2020, while </w:t>
            </w:r>
            <w:r>
              <w:rPr>
                <w:rFonts w:ascii="Arial" w:cs="Arial" w:eastAsia="Malgun Gothic" w:hAnsi="Arial"/>
                <w:b/>
                <w:bCs/>
                <w:i w:val="false"/>
                <w:iCs w:val="false"/>
                <w:color w:val="1D1D1D"/>
                <w:sz w:val="21"/>
                <w:szCs w:val="21"/>
              </w:rPr>
              <w:t xml:space="preserve">both ROA and ROE decreased</w:t>
            </w:r>
            <w:r>
              <w:rPr>
                <w:rFonts w:ascii="Arial" w:cs="Arial" w:eastAsia="Malgun Gothic" w:hAnsi="Arial"/>
                <w:b w:val="false"/>
                <w:bCs w:val="false"/>
                <w:i w:val="false"/>
                <w:iCs w:val="false"/>
                <w:color w:val="1D1D1D"/>
                <w:sz w:val="21"/>
                <w:szCs w:val="21"/>
              </w:rPr>
              <w:t xml:space="preserve">. Based on ROFL, leverage increased ROE by more than 70% over ROA in each year. These increases correspond closely to the DuPont financial leverage measure because Intel’s borrowing costs are so low.</w:t>
            </w:r>
          </w:p>
          <w:p>
            <w:pPr>
              <w:spacing w:after="0" w:before="0" w:line="264"/>
            </w:pPr>
            <w:r>
              <w:rPr>
                <w:rFonts w:ascii="Arial" w:cs="Arial" w:eastAsia="Malgun Gothic" w:hAnsi="Arial"/>
                <w:b w:val="false"/>
                <w:bCs w:val="false"/>
                <w:i w:val="false"/>
                <w:iCs w:val="false"/>
                <w:color w:val="1D1D1D"/>
                <w:sz w:val="21"/>
                <w:szCs w:val="21"/>
              </w:rPr>
              <w:t xml:space="preserve">In general there is a bias in DuPont analysis in that it tends to </w:t>
            </w:r>
            <w:r>
              <w:rPr>
                <w:rFonts w:ascii="Arial" w:cs="Arial" w:eastAsia="Malgun Gothic" w:hAnsi="Arial"/>
                <w:b/>
                <w:bCs/>
                <w:i w:val="false"/>
                <w:iCs w:val="false"/>
                <w:color w:val="1D1D1D"/>
                <w:sz w:val="21"/>
                <w:szCs w:val="21"/>
              </w:rPr>
              <w:t xml:space="preserve">overstate the benefits of financial leverage</w:t>
            </w:r>
            <w:r>
              <w:rPr>
                <w:rFonts w:ascii="Arial" w:cs="Arial" w:eastAsia="Malgun Gothic" w:hAnsi="Arial"/>
                <w:b w:val="false"/>
                <w:bCs w:val="false"/>
                <w:i w:val="false"/>
                <w:iCs w:val="false"/>
                <w:color w:val="1D1D1D"/>
                <w:sz w:val="21"/>
                <w:szCs w:val="21"/>
              </w:rPr>
              <w:t xml:space="preserve">. Offsetting this bias, DuPont calculates the net profit margin, which is lower than PM because the numerator is net of interest costs.</w:t>
            </w:r>
          </w:p>
        </w:tc>
      </w:tr>
    </w:tbl>
    <w:p>
      <w:pPr>
        <w:spacing w:after="150" w:line="60"/>
      </w:pPr>
    </w:p>
    <w:p>
      <w:pPr>
        <w:pageBreakBefore/>
        <w:spacing w:after="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E5-33  ·  Liquidity and Solvency Ratios — Siemens AG</w:t>
            </w:r>
          </w:p>
        </w:tc>
      </w:tr>
    </w:tbl>
    <w:p>
      <w:pPr>
        <w:spacing w:after="150" w:line="60"/>
      </w:pPr>
    </w:p>
    <w:p>
      <w:pPr>
        <w:keepNext/>
        <w:spacing w:after="60" w:line="250"/>
      </w:pPr>
      <w:r>
        <w:rPr>
          <w:rFonts w:ascii="Arial" w:cs="Arial" w:eastAsia="Malgun Gothic" w:hAnsi="Arial"/>
          <w:b/>
          <w:bCs/>
          <w:i w:val="false"/>
          <w:iCs w:val="false"/>
          <w:color w:val="1F4899"/>
          <w:sz w:val="20"/>
          <w:szCs w:val="20"/>
        </w:rPr>
        <w:t xml:space="preserve">Selected data (€ millions)</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1200"/>
        <w:gridCol w:w="1800"/>
        <w:gridCol w:w="1900"/>
        <w:gridCol w:w="1400"/>
        <w:gridCol w:w="1600"/>
        <w:gridCol w:w="1460"/>
      </w:tblGrid>
      <w:tr>
        <w:trPr>
          <w:tblHeader/>
        </w:trPr>
        <w:tc>
          <w:tcPr>
            <w:tcW w:type="dxa" w:w="12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Year</w:t>
            </w:r>
          </w:p>
        </w:tc>
        <w:tc>
          <w:tcPr>
            <w:tcW w:type="dxa" w:w="180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Current Assets</w:t>
            </w:r>
          </w:p>
        </w:tc>
        <w:tc>
          <w:tcPr>
            <w:tcW w:type="dxa" w:w="190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Current Liabilities</w:t>
            </w:r>
          </w:p>
        </w:tc>
        <w:tc>
          <w:tcPr>
            <w:tcW w:type="dxa" w:w="140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CFO</w:t>
            </w:r>
          </w:p>
        </w:tc>
        <w:tc>
          <w:tcPr>
            <w:tcW w:type="dxa" w:w="160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Pretax Income</w:t>
            </w:r>
          </w:p>
        </w:tc>
        <w:tc>
          <w:tcPr>
            <w:tcW w:type="dxa" w:w="1460"/>
            <w:shd w:fill="1F4899" w:color="auto" w:val="clear"/>
            <w:tcMar>
              <w:top w:type="dxa" w:w="65"/>
              <w:left w:type="dxa" w:w="110"/>
              <w:bottom w:type="dxa" w:w="65"/>
              <w:right w:type="dxa" w:w="110"/>
            </w:tcMar>
          </w:tcPr>
          <w:p>
            <w:pPr>
              <w:spacing w:after="0" w:before="0" w:line="264"/>
              <w:jc w:val="right"/>
            </w:pPr>
            <w:r>
              <w:rPr>
                <w:rFonts w:ascii="Arial" w:cs="Arial" w:eastAsia="Malgun Gothic" w:hAnsi="Arial"/>
                <w:b/>
                <w:bCs/>
                <w:i w:val="false"/>
                <w:iCs w:val="false"/>
                <w:color w:val="FFFFFF"/>
                <w:sz w:val="19"/>
                <w:szCs w:val="19"/>
              </w:rPr>
              <w:t xml:space="preserve">Interest Expense</w:t>
            </w:r>
          </w:p>
        </w:tc>
      </w:tr>
      <w:tr>
        <w:tc>
          <w:tcPr>
            <w:tcW w:type="dxa" w:w="12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2018</w:t>
            </w:r>
          </w:p>
        </w:tc>
        <w:tc>
          <w:tcPr>
            <w:tcW w:type="dxa" w:w="18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64,570</w:t>
            </w:r>
          </w:p>
        </w:tc>
        <w:tc>
          <w:tcPr>
            <w:tcW w:type="dxa" w:w="19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47,874</w:t>
            </w:r>
          </w:p>
        </w:tc>
        <w:tc>
          <w:tcPr>
            <w:tcW w:type="dxa" w:w="14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8,425</w:t>
            </w:r>
          </w:p>
        </w:tc>
        <w:tc>
          <w:tcPr>
            <w:tcW w:type="dxa" w:w="16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8,050</w:t>
            </w:r>
          </w:p>
        </w:tc>
        <w:tc>
          <w:tcPr>
            <w:tcW w:type="dxa" w:w="146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1,089</w:t>
            </w:r>
          </w:p>
        </w:tc>
      </w:tr>
      <w:tr>
        <w:tc>
          <w:tcPr>
            <w:tcW w:type="dxa" w:w="12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2019</w:t>
            </w:r>
          </w:p>
        </w:tc>
        <w:tc>
          <w:tcPr>
            <w:tcW w:type="dxa" w:w="180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70,370</w:t>
            </w:r>
          </w:p>
        </w:tc>
        <w:tc>
          <w:tcPr>
            <w:tcW w:type="dxa" w:w="190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50,723</w:t>
            </w:r>
          </w:p>
        </w:tc>
        <w:tc>
          <w:tcPr>
            <w:tcW w:type="dxa" w:w="140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8,456</w:t>
            </w:r>
          </w:p>
        </w:tc>
        <w:tc>
          <w:tcPr>
            <w:tcW w:type="dxa" w:w="160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6,933</w:t>
            </w:r>
          </w:p>
        </w:tc>
        <w:tc>
          <w:tcPr>
            <w:tcW w:type="dxa" w:w="1460"/>
            <w:shd w:fill="F7F9FC"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965</w:t>
            </w:r>
          </w:p>
        </w:tc>
      </w:tr>
      <w:tr>
        <w:tc>
          <w:tcPr>
            <w:tcW w:type="dxa" w:w="12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2020</w:t>
            </w:r>
          </w:p>
        </w:tc>
        <w:tc>
          <w:tcPr>
            <w:tcW w:type="dxa" w:w="18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52,968</w:t>
            </w:r>
          </w:p>
        </w:tc>
        <w:tc>
          <w:tcPr>
            <w:tcW w:type="dxa" w:w="19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34,117</w:t>
            </w:r>
          </w:p>
        </w:tc>
        <w:tc>
          <w:tcPr>
            <w:tcW w:type="dxa" w:w="14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8,886</w:t>
            </w:r>
          </w:p>
        </w:tc>
        <w:tc>
          <w:tcPr>
            <w:tcW w:type="dxa" w:w="160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5,672</w:t>
            </w:r>
          </w:p>
        </w:tc>
        <w:tc>
          <w:tcPr>
            <w:tcW w:type="dxa" w:w="1460"/>
            <w:shd w:fill="FFFFFF" w:color="auto" w:val="clear"/>
            <w:tcMar>
              <w:top w:type="dxa" w:w="55"/>
              <w:left w:type="dxa" w:w="110"/>
              <w:bottom w:type="dxa" w:w="55"/>
              <w:right w:type="dxa" w:w="110"/>
            </w:tcMar>
            <w:vAlign w:val="center"/>
          </w:tcPr>
          <w:p>
            <w:pPr>
              <w:spacing w:after="0" w:before="0" w:line="264"/>
              <w:jc w:val="right"/>
            </w:pPr>
            <w:r>
              <w:rPr>
                <w:rFonts w:ascii="Arial" w:cs="Arial" w:eastAsia="Malgun Gothic" w:hAnsi="Arial"/>
                <w:b w:val="false"/>
                <w:bCs w:val="false"/>
                <w:i w:val="false"/>
                <w:iCs w:val="false"/>
                <w:color w:val="1D1D1D"/>
                <w:sz w:val="19"/>
                <w:szCs w:val="19"/>
              </w:rPr>
              <w:t xml:space="preserve">815</w:t>
            </w:r>
          </w:p>
        </w:tc>
      </w:tr>
    </w:tbl>
    <w:p>
      <w:pPr>
        <w:spacing w:after="160" w:line="60"/>
      </w:pPr>
    </w:p>
    <w:p>
      <w:pPr>
        <w:keepNext/>
        <w:spacing w:after="60" w:line="250"/>
      </w:pPr>
      <w:r>
        <w:rPr>
          <w:rFonts w:ascii="Arial" w:cs="Arial" w:eastAsia="Malgun Gothic" w:hAnsi="Arial"/>
          <w:b/>
          <w:bCs/>
          <w:i w:val="false"/>
          <w:iCs w:val="false"/>
          <w:color w:val="1F4899"/>
          <w:sz w:val="20"/>
          <w:szCs w:val="20"/>
        </w:rPr>
        <w:t xml:space="preserve">a.  Current ratio and operating cash flow to current liabilities</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1000"/>
        <w:gridCol w:w="3400"/>
        <w:gridCol w:w="4960"/>
      </w:tblGrid>
      <w:tr>
        <w:trPr>
          <w:tblHeader/>
        </w:trPr>
        <w:tc>
          <w:tcPr>
            <w:tcW w:type="dxa" w:w="10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Year</w:t>
            </w:r>
          </w:p>
        </w:tc>
        <w:tc>
          <w:tcPr>
            <w:tcW w:type="dxa" w:w="34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Current Ratio</w:t>
            </w:r>
          </w:p>
        </w:tc>
        <w:tc>
          <w:tcPr>
            <w:tcW w:type="dxa" w:w="496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OCFCL</w:t>
            </w:r>
          </w:p>
        </w:tc>
      </w:tr>
      <w:tr>
        <w:tc>
          <w:tcPr>
            <w:tcW w:type="dxa" w:w="1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2018</w:t>
            </w:r>
          </w:p>
        </w:tc>
        <w:tc>
          <w:tcPr>
            <w:tcW w:type="dxa" w:w="34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€64,570 / €47,874 = 1.35</w:t>
            </w:r>
          </w:p>
        </w:tc>
        <w:tc>
          <w:tcPr>
            <w:tcW w:type="dxa" w:w="496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€8,425 / [(€47,874 + €46,077) / 2] = 0.179</w:t>
            </w:r>
          </w:p>
        </w:tc>
      </w:tr>
      <w:tr>
        <w:tc>
          <w:tcPr>
            <w:tcW w:type="dxa" w:w="10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2019</w:t>
            </w:r>
          </w:p>
        </w:tc>
        <w:tc>
          <w:tcPr>
            <w:tcW w:type="dxa" w:w="34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€70,370 / €50,723 = 1.39</w:t>
            </w:r>
          </w:p>
        </w:tc>
        <w:tc>
          <w:tcPr>
            <w:tcW w:type="dxa" w:w="496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€8,456 / [(€50,723 + €47,874) / 2] = 0.172</w:t>
            </w:r>
          </w:p>
        </w:tc>
      </w:tr>
      <w:tr>
        <w:tc>
          <w:tcPr>
            <w:tcW w:type="dxa" w:w="1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2020</w:t>
            </w:r>
          </w:p>
        </w:tc>
        <w:tc>
          <w:tcPr>
            <w:tcW w:type="dxa" w:w="34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€52,968 / €34,117 = 1.55</w:t>
            </w:r>
          </w:p>
        </w:tc>
        <w:tc>
          <w:tcPr>
            <w:tcW w:type="dxa" w:w="496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€8,862 / [(€34,117 + €50,723) / 2] = 0.209</w:t>
            </w:r>
          </w:p>
        </w:tc>
      </w:tr>
    </w:tbl>
    <w:p>
      <w:pPr>
        <w:spacing w:after="16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Discussion of liquidity</w:t>
            </w:r>
          </w:p>
          <w:p>
            <w:pPr>
              <w:spacing w:after="55" w:before="0" w:line="264"/>
            </w:pPr>
            <w:r>
              <w:rPr>
                <w:rFonts w:ascii="Arial" w:cs="Arial" w:eastAsia="Malgun Gothic" w:hAnsi="Arial"/>
                <w:b w:val="false"/>
                <w:bCs w:val="false"/>
                <w:i w:val="false"/>
                <w:iCs w:val="false"/>
                <w:color w:val="1D1D1D"/>
                <w:sz w:val="21"/>
                <w:szCs w:val="21"/>
              </w:rPr>
              <w:t xml:space="preserve">Siemens has a current ratio above 1.0 that held steady around 1.3 until 2020, when it rose to 1.55. Its OCFCL ratio stayed around 0.18 until 2020, when it increased to about 0.21. Time will tell whether these improvements are permanent.</w:t>
            </w:r>
          </w:p>
          <w:p>
            <w:pPr>
              <w:spacing w:after="0" w:before="0" w:line="264"/>
            </w:pPr>
            <w:r>
              <w:rPr>
                <w:rFonts w:ascii="Arial" w:cs="Arial" w:eastAsia="Malgun Gothic" w:hAnsi="Arial"/>
                <w:b w:val="false"/>
                <w:bCs w:val="false"/>
                <w:i w:val="false"/>
                <w:iCs w:val="false"/>
                <w:color w:val="1D1D1D"/>
                <w:sz w:val="21"/>
                <w:szCs w:val="21"/>
              </w:rPr>
              <w:t xml:space="preserve">While the current ratio provides a useful point estimate of liquidity, the OCFCL ratio suggests that </w:t>
            </w:r>
            <w:r>
              <w:rPr>
                <w:rFonts w:ascii="Arial" w:cs="Arial" w:eastAsia="Malgun Gothic" w:hAnsi="Arial"/>
                <w:b/>
                <w:bCs/>
                <w:i w:val="false"/>
                <w:iCs w:val="false"/>
                <w:color w:val="1D1D1D"/>
                <w:sz w:val="21"/>
                <w:szCs w:val="21"/>
              </w:rPr>
              <w:t xml:space="preserve">operations are not generating sufficient net cash flow to cover short-term obligations</w:t>
            </w:r>
            <w:r>
              <w:rPr>
                <w:rFonts w:ascii="Arial" w:cs="Arial" w:eastAsia="Malgun Gothic" w:hAnsi="Arial"/>
                <w:b w:val="false"/>
                <w:bCs w:val="false"/>
                <w:i w:val="false"/>
                <w:iCs w:val="false"/>
                <w:color w:val="1D1D1D"/>
                <w:sz w:val="21"/>
                <w:szCs w:val="21"/>
              </w:rPr>
              <w:t xml:space="preserve">.</w:t>
            </w:r>
          </w:p>
        </w:tc>
      </w:tr>
    </w:tbl>
    <w:p>
      <w:pPr>
        <w:spacing w:after="150" w:line="60"/>
      </w:pPr>
    </w:p>
    <w:p>
      <w:pPr>
        <w:keepNext/>
        <w:spacing w:after="60" w:line="250"/>
      </w:pPr>
      <w:r>
        <w:rPr>
          <w:rFonts w:ascii="Arial" w:cs="Arial" w:eastAsia="Malgun Gothic" w:hAnsi="Arial"/>
          <w:b/>
          <w:bCs/>
          <w:i w:val="false"/>
          <w:iCs w:val="false"/>
          <w:color w:val="1F4899"/>
          <w:sz w:val="20"/>
          <w:szCs w:val="20"/>
        </w:rPr>
        <w:t xml:space="preserve">b.  Times interest earned and debt-to-equity</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1000"/>
        <w:gridCol w:w="4400"/>
        <w:gridCol w:w="3960"/>
      </w:tblGrid>
      <w:tr>
        <w:trPr>
          <w:tblHeader/>
        </w:trPr>
        <w:tc>
          <w:tcPr>
            <w:tcW w:type="dxa" w:w="10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Year</w:t>
            </w:r>
          </w:p>
        </w:tc>
        <w:tc>
          <w:tcPr>
            <w:tcW w:type="dxa" w:w="44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Times Interest Earned</w:t>
            </w:r>
          </w:p>
        </w:tc>
        <w:tc>
          <w:tcPr>
            <w:tcW w:type="dxa" w:w="396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Debt-to-Equity</w:t>
            </w:r>
          </w:p>
        </w:tc>
      </w:tr>
      <w:tr>
        <w:tc>
          <w:tcPr>
            <w:tcW w:type="dxa" w:w="1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2018</w:t>
            </w:r>
          </w:p>
        </w:tc>
        <w:tc>
          <w:tcPr>
            <w:tcW w:type="dxa" w:w="44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€(8,050 + 1,089) / €1,089 = 8.39</w:t>
            </w:r>
          </w:p>
        </w:tc>
        <w:tc>
          <w:tcPr>
            <w:tcW w:type="dxa" w:w="396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€90,869 / €48,046 = 1.89</w:t>
            </w:r>
          </w:p>
        </w:tc>
      </w:tr>
      <w:tr>
        <w:tc>
          <w:tcPr>
            <w:tcW w:type="dxa" w:w="10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2019</w:t>
            </w:r>
          </w:p>
        </w:tc>
        <w:tc>
          <w:tcPr>
            <w:tcW w:type="dxa" w:w="44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€(6,933 + 965) / €965 = 8.18</w:t>
            </w:r>
          </w:p>
        </w:tc>
        <w:tc>
          <w:tcPr>
            <w:tcW w:type="dxa" w:w="396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€99,265 / €50,984 = 1.95</w:t>
            </w:r>
          </w:p>
        </w:tc>
      </w:tr>
      <w:tr>
        <w:tc>
          <w:tcPr>
            <w:tcW w:type="dxa" w:w="1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2020</w:t>
            </w:r>
          </w:p>
        </w:tc>
        <w:tc>
          <w:tcPr>
            <w:tcW w:type="dxa" w:w="44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€(5,672 + 815) / €815 = 7.96</w:t>
            </w:r>
          </w:p>
        </w:tc>
        <w:tc>
          <w:tcPr>
            <w:tcW w:type="dxa" w:w="396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€84,074 / €39,823 = 2.11</w:t>
            </w:r>
          </w:p>
        </w:tc>
      </w:tr>
    </w:tbl>
    <w:p>
      <w:pPr>
        <w:spacing w:after="16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c.  Overall assessment</w:t>
            </w:r>
          </w:p>
          <w:p>
            <w:pPr>
              <w:spacing w:after="55" w:before="0" w:line="264"/>
            </w:pPr>
            <w:r>
              <w:rPr>
                <w:rFonts w:ascii="Arial" w:cs="Arial" w:eastAsia="Malgun Gothic" w:hAnsi="Arial"/>
                <w:b w:val="false"/>
                <w:bCs w:val="false"/>
                <w:i w:val="false"/>
                <w:iCs w:val="false"/>
                <w:color w:val="1D1D1D"/>
                <w:sz w:val="21"/>
                <w:szCs w:val="21"/>
              </w:rPr>
              <w:t xml:space="preserve">Times interest earned decreased in 2019 and again in 2020. The debt-to-equity ratio has been slightly high around 1.9 and increased in 2020.</w:t>
            </w:r>
          </w:p>
          <w:p>
            <w:pPr>
              <w:spacing w:after="55" w:before="0" w:line="264"/>
            </w:pPr>
            <w:r>
              <w:rPr>
                <w:rFonts w:ascii="Arial" w:cs="Arial" w:eastAsia="Malgun Gothic" w:hAnsi="Arial"/>
                <w:b w:val="false"/>
                <w:bCs w:val="false"/>
                <w:i w:val="false"/>
                <w:iCs w:val="false"/>
                <w:color w:val="1D1D1D"/>
                <w:sz w:val="21"/>
                <w:szCs w:val="21"/>
              </w:rPr>
              <w:t xml:space="preserve">It is always a good idea to look into the numbers that make up the ratios. Siemens’ current liabilities include about </w:t>
            </w:r>
            <w:r>
              <w:rPr>
                <w:rFonts w:ascii="Arial" w:cs="Arial" w:eastAsia="Malgun Gothic" w:hAnsi="Arial"/>
                <w:b/>
                <w:bCs/>
                <w:i w:val="false"/>
                <w:iCs w:val="false"/>
                <w:color w:val="1D1D1D"/>
                <w:sz w:val="21"/>
                <w:szCs w:val="21"/>
              </w:rPr>
              <w:t xml:space="preserve">€7.5 billion in contract liabilities</w:t>
            </w:r>
            <w:r>
              <w:rPr>
                <w:rFonts w:ascii="Arial" w:cs="Arial" w:eastAsia="Malgun Gothic" w:hAnsi="Arial"/>
                <w:b w:val="false"/>
                <w:bCs w:val="false"/>
                <w:i w:val="false"/>
                <w:iCs w:val="false"/>
                <w:color w:val="1D1D1D"/>
                <w:sz w:val="21"/>
                <w:szCs w:val="21"/>
              </w:rPr>
              <w:t xml:space="preserve"> — roughly 22% of current liabilities. In the normal course of business, deferred performance liabilities like these </w:t>
            </w:r>
            <w:r>
              <w:rPr>
                <w:rFonts w:ascii="Arial" w:cs="Arial" w:eastAsia="Malgun Gothic" w:hAnsi="Arial"/>
                <w:b/>
                <w:bCs/>
                <w:i w:val="false"/>
                <w:iCs w:val="false"/>
                <w:color w:val="1D1D1D"/>
                <w:sz w:val="21"/>
                <w:szCs w:val="21"/>
              </w:rPr>
              <w:t xml:space="preserve">aren’t paid off with cash</w:t>
            </w:r>
            <w:r>
              <w:rPr>
                <w:rFonts w:ascii="Arial" w:cs="Arial" w:eastAsia="Malgun Gothic" w:hAnsi="Arial"/>
                <w:b w:val="false"/>
                <w:bCs w:val="false"/>
                <w:i w:val="false"/>
                <w:iCs w:val="false"/>
                <w:color w:val="1D1D1D"/>
                <w:sz w:val="21"/>
                <w:szCs w:val="21"/>
              </w:rPr>
              <w:t xml:space="preserve">; rather, Siemens must provide the agreed-upon services and products.</w:t>
            </w:r>
          </w:p>
          <w:p>
            <w:pPr>
              <w:spacing w:after="0" w:before="0" w:line="264"/>
            </w:pPr>
            <w:r>
              <w:rPr>
                <w:rFonts w:ascii="Arial" w:cs="Arial" w:eastAsia="Malgun Gothic" w:hAnsi="Arial"/>
                <w:b w:val="false"/>
                <w:bCs w:val="false"/>
                <w:i w:val="false"/>
                <w:iCs w:val="false"/>
                <w:color w:val="1D1D1D"/>
                <w:sz w:val="21"/>
                <w:szCs w:val="21"/>
              </w:rPr>
              <w:t xml:space="preserve">Siemens is hard to place into a single industry group, and its D/E and TIE appear high relative to most industries. However, the company’s size and diversified businesses give it a stability that can reassure lenders.</w:t>
            </w:r>
          </w:p>
        </w:tc>
      </w:tr>
    </w:tbl>
    <w:p>
      <w:pPr>
        <w:spacing w:after="150" w:line="60"/>
      </w:pPr>
    </w:p>
    <w:p>
      <w:pPr>
        <w:pageBreakBefore/>
        <w:spacing w:after="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P5-36  ·  Return on Investment for Competitors — Nike vs. Adidas</w:t>
            </w:r>
          </w:p>
        </w:tc>
      </w:tr>
    </w:tbl>
    <w:p>
      <w:pPr>
        <w:spacing w:after="150" w:line="60"/>
      </w:pPr>
    </w:p>
    <w:p>
      <w:pPr>
        <w:spacing w:after="130" w:before="90"/>
        <w:jc w:val="center"/>
      </w:pPr>
      <w:r>
        <w:drawing>
          <wp:inline distT="0" distB="0" distL="0" distR="0">
            <wp:extent cx="6286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352800"/>
                    </a:xfrm>
                    <a:prstGeom prst="rect">
                      <a:avLst/>
                    </a:prstGeom>
                  </pic:spPr>
                </pic:pic>
              </a:graphicData>
            </a:graphic>
          </wp:inline>
        </w:drawing>
      </w:r>
    </w:p>
    <w:p>
      <w:pPr>
        <w:spacing w:after="150" w:before="0" w:line="264"/>
        <w:jc w:val="center"/>
      </w:pPr>
      <w:r>
        <w:rPr>
          <w:rFonts w:ascii="Arial" w:cs="Arial" w:eastAsia="Malgun Gothic" w:hAnsi="Arial"/>
          <w:b w:val="false"/>
          <w:bCs w:val="false"/>
          <w:i w:val="false"/>
          <w:iCs w:val="false"/>
          <w:color w:val="767676"/>
          <w:sz w:val="18"/>
          <w:szCs w:val="18"/>
        </w:rPr>
        <w:t xml:space="preserve">Nike, Inc. — financial statements</w:t>
      </w:r>
    </w:p>
    <w:p>
      <w:pPr>
        <w:spacing w:after="130" w:before="90"/>
        <w:jc w:val="center"/>
      </w:pPr>
      <w:r>
        <w:drawing>
          <wp:inline distT="0" distB="0" distL="0" distR="0">
            <wp:extent cx="53340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05350"/>
                    </a:xfrm>
                    <a:prstGeom prst="rect">
                      <a:avLst/>
                    </a:prstGeom>
                  </pic:spPr>
                </pic:pic>
              </a:graphicData>
            </a:graphic>
          </wp:inline>
        </w:drawing>
      </w:r>
    </w:p>
    <w:p>
      <w:pPr>
        <w:spacing w:after="150" w:before="0" w:line="264"/>
        <w:jc w:val="center"/>
      </w:pPr>
      <w:r>
        <w:rPr>
          <w:rFonts w:ascii="Arial" w:cs="Arial" w:eastAsia="Malgun Gothic" w:hAnsi="Arial"/>
          <w:b w:val="false"/>
          <w:bCs w:val="false"/>
          <w:i w:val="false"/>
          <w:iCs w:val="false"/>
          <w:color w:val="767676"/>
          <w:sz w:val="18"/>
          <w:szCs w:val="18"/>
        </w:rPr>
        <w:t xml:space="preserve">Adidas Group — financial statements</w:t>
      </w:r>
    </w:p>
    <w:p>
      <w:pPr>
        <w:pageBreakBefore/>
        <w:spacing w:after="0"/>
      </w:pPr>
    </w:p>
    <w:p>
      <w:pPr>
        <w:keepNext/>
        <w:spacing w:after="60" w:line="250"/>
      </w:pPr>
      <w:r>
        <w:rPr>
          <w:rFonts w:ascii="Arial" w:cs="Arial" w:eastAsia="Malgun Gothic" w:hAnsi="Arial"/>
          <w:b/>
          <w:bCs/>
          <w:i w:val="false"/>
          <w:iCs w:val="false"/>
          <w:color w:val="1F4899"/>
          <w:sz w:val="20"/>
          <w:szCs w:val="20"/>
        </w:rPr>
        <w:t xml:space="preserve">a.  ROE, ROA, and ROFL   (tax rate: Nike 25%, Adidas 30%)</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2000"/>
        <w:gridCol w:w="3680"/>
        <w:gridCol w:w="3680"/>
      </w:tblGrid>
      <w:tr>
        <w:trPr>
          <w:tblHeader/>
        </w:trPr>
        <w:tc>
          <w:tcPr>
            <w:tcW w:type="dxa" w:w="20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Measure</w:t>
            </w:r>
          </w:p>
        </w:tc>
        <w:tc>
          <w:tcPr>
            <w:tcW w:type="dxa" w:w="368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Nike ($ millions)</w:t>
            </w:r>
          </w:p>
        </w:tc>
        <w:tc>
          <w:tcPr>
            <w:tcW w:type="dxa" w:w="368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Adidas (€ millions)</w:t>
            </w:r>
          </w:p>
        </w:tc>
      </w:tr>
      <w:tr>
        <w:tc>
          <w:tcPr>
            <w:tcW w:type="dxa" w:w="2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EWI</w:t>
            </w:r>
          </w:p>
        </w:tc>
        <w:tc>
          <w:tcPr>
            <w:tcW w:type="dxa" w:w="36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$2,539 + $89 × (1 − 0.25) = 2,605.8</w:t>
            </w:r>
          </w:p>
        </w:tc>
        <w:tc>
          <w:tcPr>
            <w:tcW w:type="dxa" w:w="36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€1,977 + €166 × (1 − 0.30) = 2,093.2</w:t>
            </w:r>
          </w:p>
        </w:tc>
      </w:tr>
      <w:tr>
        <w:tc>
          <w:tcPr>
            <w:tcW w:type="dxa" w:w="20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Average equity</w:t>
            </w:r>
          </w:p>
        </w:tc>
        <w:tc>
          <w:tcPr>
            <w:tcW w:type="dxa" w:w="36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($8,055 + $9,040) / 2 = 8,547.5</w:t>
            </w:r>
          </w:p>
        </w:tc>
        <w:tc>
          <w:tcPr>
            <w:tcW w:type="dxa" w:w="36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(€7,058 + €6,364) / 2 = 6,711</w:t>
            </w:r>
          </w:p>
        </w:tc>
      </w:tr>
      <w:tr>
        <w:tc>
          <w:tcPr>
            <w:tcW w:type="dxa" w:w="2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Average assets</w:t>
            </w:r>
          </w:p>
        </w:tc>
        <w:tc>
          <w:tcPr>
            <w:tcW w:type="dxa" w:w="36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($31,342 + $23,717) / 2 = 27,529.5</w:t>
            </w:r>
          </w:p>
        </w:tc>
        <w:tc>
          <w:tcPr>
            <w:tcW w:type="dxa" w:w="36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(€20,680 + €15,612) / 2 = 18,146</w:t>
            </w:r>
          </w:p>
        </w:tc>
      </w:tr>
      <w:tr>
        <w:tc>
          <w:tcPr>
            <w:tcW w:type="dxa" w:w="20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ROE</w:t>
            </w:r>
          </w:p>
        </w:tc>
        <w:tc>
          <w:tcPr>
            <w:tcW w:type="dxa" w:w="36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2,539 / 8,547.5 = 29.70%</w:t>
            </w:r>
          </w:p>
        </w:tc>
        <w:tc>
          <w:tcPr>
            <w:tcW w:type="dxa" w:w="36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1,977 / 6,711 = 29.46%</w:t>
            </w:r>
          </w:p>
        </w:tc>
      </w:tr>
      <w:tr>
        <w:tc>
          <w:tcPr>
            <w:tcW w:type="dxa" w:w="2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ROA</w:t>
            </w:r>
          </w:p>
        </w:tc>
        <w:tc>
          <w:tcPr>
            <w:tcW w:type="dxa" w:w="36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2,605.8 / 27,529.5 = 9.47%</w:t>
            </w:r>
          </w:p>
        </w:tc>
        <w:tc>
          <w:tcPr>
            <w:tcW w:type="dxa" w:w="36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2,093.2 / 18,146 = 11.54%</w:t>
            </w:r>
          </w:p>
        </w:tc>
      </w:tr>
      <w:tr>
        <w:tc>
          <w:tcPr>
            <w:tcW w:type="dxa" w:w="20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ROFL</w:t>
            </w:r>
          </w:p>
        </w:tc>
        <w:tc>
          <w:tcPr>
            <w:tcW w:type="dxa" w:w="36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29.70% − 9.47% = 20.23%</w:t>
            </w:r>
          </w:p>
        </w:tc>
        <w:tc>
          <w:tcPr>
            <w:tcW w:type="dxa" w:w="36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29.46% − 11.54% = 17.92%</w:t>
            </w:r>
          </w:p>
        </w:tc>
      </w:tr>
    </w:tbl>
    <w:p>
      <w:pPr>
        <w:spacing w:after="16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Interpretation</w:t>
            </w:r>
          </w:p>
          <w:p>
            <w:pPr>
              <w:spacing w:after="0" w:before="0" w:line="264"/>
            </w:pPr>
            <w:r>
              <w:rPr>
                <w:rFonts w:ascii="Arial" w:cs="Arial" w:eastAsia="Malgun Gothic" w:hAnsi="Arial"/>
                <w:b w:val="false"/>
                <w:bCs w:val="false"/>
                <w:i w:val="false"/>
                <w:iCs w:val="false"/>
                <w:color w:val="1D1D1D"/>
                <w:sz w:val="21"/>
                <w:szCs w:val="21"/>
              </w:rPr>
              <w:t xml:space="preserve">Nike’s performance is very similar to that of Adidas, with Nike reporting a slightly higher ROE and Adidas a higher ROA. The difference is that </w:t>
            </w:r>
            <w:r>
              <w:rPr>
                <w:rFonts w:ascii="Arial" w:cs="Arial" w:eastAsia="Malgun Gothic" w:hAnsi="Arial"/>
                <w:b/>
                <w:bCs/>
                <w:i w:val="false"/>
                <w:iCs w:val="false"/>
                <w:color w:val="1D1D1D"/>
                <w:sz w:val="21"/>
                <w:szCs w:val="21"/>
              </w:rPr>
              <w:t xml:space="preserve">Nike shows a higher ROFL</w:t>
            </w:r>
            <w:r>
              <w:rPr>
                <w:rFonts w:ascii="Arial" w:cs="Arial" w:eastAsia="Malgun Gothic" w:hAnsi="Arial"/>
                <w:b w:val="false"/>
                <w:bCs w:val="false"/>
                <w:i w:val="false"/>
                <w:iCs w:val="false"/>
                <w:color w:val="1D1D1D"/>
                <w:sz w:val="21"/>
                <w:szCs w:val="21"/>
              </w:rPr>
              <w:t xml:space="preserve"> — more of its return comes from leverage.</w:t>
            </w:r>
          </w:p>
        </w:tc>
      </w:tr>
    </w:tbl>
    <w:p>
      <w:pPr>
        <w:spacing w:after="150" w:line="60"/>
      </w:pPr>
    </w:p>
    <w:p>
      <w:pPr>
        <w:keepNext/>
        <w:spacing w:after="60" w:line="250"/>
      </w:pPr>
      <w:r>
        <w:rPr>
          <w:rFonts w:ascii="Arial" w:cs="Arial" w:eastAsia="Malgun Gothic" w:hAnsi="Arial"/>
          <w:b/>
          <w:bCs/>
          <w:i w:val="false"/>
          <w:iCs w:val="false"/>
          <w:color w:val="1F4899"/>
          <w:sz w:val="20"/>
          <w:szCs w:val="20"/>
        </w:rPr>
        <w:t xml:space="preserve">b.  Profit margin and asset turnover</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2000"/>
        <w:gridCol w:w="3680"/>
        <w:gridCol w:w="3680"/>
      </w:tblGrid>
      <w:tr>
        <w:trPr>
          <w:tblHeader/>
        </w:trPr>
        <w:tc>
          <w:tcPr>
            <w:tcW w:type="dxa" w:w="20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Measure</w:t>
            </w:r>
          </w:p>
        </w:tc>
        <w:tc>
          <w:tcPr>
            <w:tcW w:type="dxa" w:w="368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Nike</w:t>
            </w:r>
          </w:p>
        </w:tc>
        <w:tc>
          <w:tcPr>
            <w:tcW w:type="dxa" w:w="368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Adidas</w:t>
            </w:r>
          </w:p>
        </w:tc>
      </w:tr>
      <w:tr>
        <w:tc>
          <w:tcPr>
            <w:tcW w:type="dxa" w:w="2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PM</w:t>
            </w:r>
          </w:p>
        </w:tc>
        <w:tc>
          <w:tcPr>
            <w:tcW w:type="dxa" w:w="36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2,605.8 / 37,403 = 6.97%</w:t>
            </w:r>
          </w:p>
        </w:tc>
        <w:tc>
          <w:tcPr>
            <w:tcW w:type="dxa" w:w="36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2,093.2 / 23,640 = 8.85%</w:t>
            </w:r>
          </w:p>
        </w:tc>
      </w:tr>
      <w:tr>
        <w:tc>
          <w:tcPr>
            <w:tcW w:type="dxa" w:w="20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AT</w:t>
            </w:r>
          </w:p>
        </w:tc>
        <w:tc>
          <w:tcPr>
            <w:tcW w:type="dxa" w:w="36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37,403 / 27,529.5 = 1.36</w:t>
            </w:r>
          </w:p>
        </w:tc>
        <w:tc>
          <w:tcPr>
            <w:tcW w:type="dxa" w:w="36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23,640 / 18,146 = 1.30</w:t>
            </w:r>
          </w:p>
        </w:tc>
      </w:tr>
    </w:tbl>
    <w:p>
      <w:pPr>
        <w:spacing w:after="16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Interpretation</w:t>
            </w:r>
          </w:p>
          <w:p>
            <w:pPr>
              <w:spacing w:after="0" w:before="0" w:line="264"/>
            </w:pPr>
            <w:r>
              <w:rPr>
                <w:rFonts w:ascii="Arial" w:cs="Arial" w:eastAsia="Malgun Gothic" w:hAnsi="Arial"/>
                <w:b w:val="false"/>
                <w:bCs w:val="false"/>
                <w:i w:val="false"/>
                <w:iCs w:val="false"/>
                <w:color w:val="1D1D1D"/>
                <w:sz w:val="21"/>
                <w:szCs w:val="21"/>
              </w:rPr>
              <w:t xml:space="preserve">Nike’s PM ratio is lower than Adidas’s while its AT ratio is higher. </w:t>
            </w:r>
            <w:r>
              <w:rPr>
                <w:rFonts w:ascii="Arial" w:cs="Arial" w:eastAsia="Malgun Gothic" w:hAnsi="Arial"/>
                <w:b/>
                <w:bCs/>
                <w:i w:val="false"/>
                <w:iCs w:val="false"/>
                <w:color w:val="1D1D1D"/>
                <w:sz w:val="21"/>
                <w:szCs w:val="21"/>
              </w:rPr>
              <w:t xml:space="preserve">Adidas’s higher ROA is driven by profit margin</w:t>
            </w:r>
            <w:r>
              <w:rPr>
                <w:rFonts w:ascii="Arial" w:cs="Arial" w:eastAsia="Malgun Gothic" w:hAnsi="Arial"/>
                <w:b w:val="false"/>
                <w:bCs w:val="false"/>
                <w:i w:val="false"/>
                <w:iCs w:val="false"/>
                <w:color w:val="1D1D1D"/>
                <w:sz w:val="21"/>
                <w:szCs w:val="21"/>
              </w:rPr>
              <w:t xml:space="preserve"> — more profit generated for each dollar of sales.</w:t>
            </w:r>
          </w:p>
        </w:tc>
      </w:tr>
    </w:tbl>
    <w:p>
      <w:pPr>
        <w:spacing w:after="150" w:line="60"/>
      </w:pPr>
    </w:p>
    <w:p>
      <w:pPr>
        <w:keepNext/>
        <w:spacing w:after="60" w:line="250"/>
      </w:pPr>
      <w:r>
        <w:rPr>
          <w:rFonts w:ascii="Arial" w:cs="Arial" w:eastAsia="Malgun Gothic" w:hAnsi="Arial"/>
          <w:b/>
          <w:bCs/>
          <w:i w:val="false"/>
          <w:iCs w:val="false"/>
          <w:color w:val="1F4899"/>
          <w:sz w:val="20"/>
          <w:szCs w:val="20"/>
        </w:rPr>
        <w:t xml:space="preserve">c.  Gross profit margin and operating expense-to-sales</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2000"/>
        <w:gridCol w:w="3680"/>
        <w:gridCol w:w="3680"/>
      </w:tblGrid>
      <w:tr>
        <w:trPr>
          <w:tblHeader/>
        </w:trPr>
        <w:tc>
          <w:tcPr>
            <w:tcW w:type="dxa" w:w="20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Measure</w:t>
            </w:r>
          </w:p>
        </w:tc>
        <w:tc>
          <w:tcPr>
            <w:tcW w:type="dxa" w:w="368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Nike</w:t>
            </w:r>
          </w:p>
        </w:tc>
        <w:tc>
          <w:tcPr>
            <w:tcW w:type="dxa" w:w="368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Adidas</w:t>
            </w:r>
          </w:p>
        </w:tc>
      </w:tr>
      <w:tr>
        <w:tc>
          <w:tcPr>
            <w:tcW w:type="dxa" w:w="20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GPM</w:t>
            </w:r>
          </w:p>
        </w:tc>
        <w:tc>
          <w:tcPr>
            <w:tcW w:type="dxa" w:w="36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16,241 / 37,403 = 43.4%</w:t>
            </w:r>
          </w:p>
        </w:tc>
        <w:tc>
          <w:tcPr>
            <w:tcW w:type="dxa" w:w="36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12,293 / 23,640 = 52.0%</w:t>
            </w:r>
          </w:p>
        </w:tc>
      </w:tr>
      <w:tr>
        <w:tc>
          <w:tcPr>
            <w:tcW w:type="dxa" w:w="20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Operating ETS</w:t>
            </w:r>
          </w:p>
        </w:tc>
        <w:tc>
          <w:tcPr>
            <w:tcW w:type="dxa" w:w="36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13,126 / 37,403 = 35.1%</w:t>
            </w:r>
          </w:p>
        </w:tc>
        <w:tc>
          <w:tcPr>
            <w:tcW w:type="dxa" w:w="36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9,633 / 23,640 = 40.75%</w:t>
            </w:r>
          </w:p>
        </w:tc>
      </w:tr>
    </w:tbl>
    <w:p>
      <w:pPr>
        <w:spacing w:after="16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Interpretation</w:t>
            </w:r>
          </w:p>
          <w:p>
            <w:pPr>
              <w:spacing w:after="0" w:before="0" w:line="264"/>
            </w:pPr>
            <w:r>
              <w:rPr>
                <w:rFonts w:ascii="Arial" w:cs="Arial" w:eastAsia="Malgun Gothic" w:hAnsi="Arial"/>
                <w:b w:val="false"/>
                <w:bCs w:val="false"/>
                <w:i w:val="false"/>
                <w:iCs w:val="false"/>
                <w:color w:val="1D1D1D"/>
                <w:sz w:val="21"/>
                <w:szCs w:val="21"/>
              </w:rPr>
              <w:t xml:space="preserve">Adidas reports a higher GPM than Nike by about 9 percentage points. However, that is </w:t>
            </w:r>
            <w:r>
              <w:rPr>
                <w:rFonts w:ascii="Arial" w:cs="Arial" w:eastAsia="Malgun Gothic" w:hAnsi="Arial"/>
                <w:b/>
                <w:bCs/>
                <w:i w:val="false"/>
                <w:iCs w:val="false"/>
                <w:color w:val="1D1D1D"/>
                <w:sz w:val="21"/>
                <w:szCs w:val="21"/>
              </w:rPr>
              <w:t xml:space="preserve">offset by higher operating expenses</w:t>
            </w:r>
            <w:r>
              <w:rPr>
                <w:rFonts w:ascii="Arial" w:cs="Arial" w:eastAsia="Malgun Gothic" w:hAnsi="Arial"/>
                <w:b w:val="false"/>
                <w:bCs w:val="false"/>
                <w:i w:val="false"/>
                <w:iCs w:val="false"/>
                <w:color w:val="1D1D1D"/>
                <w:sz w:val="21"/>
                <w:szCs w:val="21"/>
              </w:rPr>
              <w:t xml:space="preserve"> as a percentage of sales.</w:t>
            </w:r>
          </w:p>
        </w:tc>
      </w:tr>
    </w:tbl>
    <w:p>
      <w:pPr>
        <w:spacing w:after="150" w:line="60"/>
      </w:pPr>
    </w:p>
    <w:p>
      <w:pPr>
        <w:keepNext/>
        <w:spacing w:after="60" w:line="250"/>
      </w:pPr>
      <w:r>
        <w:rPr>
          <w:rFonts w:ascii="Arial" w:cs="Arial" w:eastAsia="Malgun Gothic" w:hAnsi="Arial"/>
          <w:b/>
          <w:bCs/>
          <w:i w:val="false"/>
          <w:iCs w:val="false"/>
          <w:color w:val="1F4899"/>
          <w:sz w:val="20"/>
          <w:szCs w:val="20"/>
        </w:rPr>
        <w:t xml:space="preserve">d.  Turnover measures</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1600"/>
        <w:gridCol w:w="3880"/>
        <w:gridCol w:w="3880"/>
      </w:tblGrid>
      <w:tr>
        <w:trPr>
          <w:tblHeader/>
        </w:trPr>
        <w:tc>
          <w:tcPr>
            <w:tcW w:type="dxa" w:w="16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Measure</w:t>
            </w:r>
          </w:p>
        </w:tc>
        <w:tc>
          <w:tcPr>
            <w:tcW w:type="dxa" w:w="388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Nike</w:t>
            </w:r>
          </w:p>
        </w:tc>
        <w:tc>
          <w:tcPr>
            <w:tcW w:type="dxa" w:w="388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Adidas</w:t>
            </w:r>
          </w:p>
        </w:tc>
      </w:tr>
      <w:tr>
        <w:tc>
          <w:tcPr>
            <w:tcW w:type="dxa" w:w="16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ART</w:t>
            </w:r>
          </w:p>
        </w:tc>
        <w:tc>
          <w:tcPr>
            <w:tcW w:type="dxa" w:w="38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37,403 / [(2,749 + 4,272) / 2] = 10.65</w:t>
            </w:r>
          </w:p>
        </w:tc>
        <w:tc>
          <w:tcPr>
            <w:tcW w:type="dxa" w:w="38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23,640 / [(2,625 + 2,418) / 2] = 9.38</w:t>
            </w:r>
          </w:p>
        </w:tc>
      </w:tr>
      <w:tr>
        <w:tc>
          <w:tcPr>
            <w:tcW w:type="dxa" w:w="16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INVT</w:t>
            </w:r>
          </w:p>
        </w:tc>
        <w:tc>
          <w:tcPr>
            <w:tcW w:type="dxa" w:w="38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21,162 / [(7,367 + 5,622) / 2] = 3.26</w:t>
            </w:r>
          </w:p>
        </w:tc>
        <w:tc>
          <w:tcPr>
            <w:tcW w:type="dxa" w:w="38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11,347 / [(4,085 + 3,445) / 2] = 3.01</w:t>
            </w:r>
          </w:p>
        </w:tc>
      </w:tr>
      <w:tr>
        <w:tc>
          <w:tcPr>
            <w:tcW w:type="dxa" w:w="16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PPET</w:t>
            </w:r>
          </w:p>
        </w:tc>
        <w:tc>
          <w:tcPr>
            <w:tcW w:type="dxa" w:w="38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37,403 / [(4,866 + 4,744) / 2] = 7.78</w:t>
            </w:r>
          </w:p>
        </w:tc>
        <w:tc>
          <w:tcPr>
            <w:tcW w:type="dxa" w:w="38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23,640 / [(2,380 + 2,237) / 2] = 10.24</w:t>
            </w:r>
          </w:p>
        </w:tc>
      </w:tr>
    </w:tbl>
    <w:p>
      <w:pPr>
        <w:spacing w:after="16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Interpretation</w:t>
            </w:r>
          </w:p>
          <w:p>
            <w:pPr>
              <w:spacing w:after="0" w:before="0" w:line="264"/>
            </w:pPr>
            <w:r>
              <w:rPr>
                <w:rFonts w:ascii="Arial" w:cs="Arial" w:eastAsia="Malgun Gothic" w:hAnsi="Arial"/>
                <w:b w:val="false"/>
                <w:bCs w:val="false"/>
                <w:i w:val="false"/>
                <w:iCs w:val="false"/>
                <w:color w:val="1D1D1D"/>
                <w:sz w:val="21"/>
                <w:szCs w:val="21"/>
              </w:rPr>
              <w:t xml:space="preserve">Nike’s INVT is higher than Adidas’s, suggesting Nike may be managing inventory more efficiently. Both companies’ PPET ratios are high, consistent with a business model that </w:t>
            </w:r>
            <w:r>
              <w:rPr>
                <w:rFonts w:ascii="Arial" w:cs="Arial" w:eastAsia="Malgun Gothic" w:hAnsi="Arial"/>
                <w:b/>
                <w:bCs/>
                <w:i w:val="false"/>
                <w:iCs w:val="false"/>
                <w:color w:val="1D1D1D"/>
                <w:sz w:val="21"/>
                <w:szCs w:val="21"/>
              </w:rPr>
              <w:t xml:space="preserve">outsources most of the production</w:t>
            </w:r>
            <w:r>
              <w:rPr>
                <w:rFonts w:ascii="Arial" w:cs="Arial" w:eastAsia="Malgun Gothic" w:hAnsi="Arial"/>
                <w:b w:val="false"/>
                <w:bCs w:val="false"/>
                <w:i w:val="false"/>
                <w:iCs w:val="false"/>
                <w:color w:val="1D1D1D"/>
                <w:sz w:val="21"/>
                <w:szCs w:val="21"/>
              </w:rPr>
              <w:t xml:space="preserve">.</w:t>
            </w:r>
          </w:p>
        </w:tc>
      </w:tr>
    </w:tbl>
    <w:p>
      <w:pPr>
        <w:spacing w:after="15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e.  Effect of the different fiscal year ends</w:t>
            </w:r>
          </w:p>
          <w:p>
            <w:pPr>
              <w:spacing w:after="55" w:before="0" w:line="264"/>
            </w:pPr>
            <w:r>
              <w:rPr>
                <w:rFonts w:ascii="Arial" w:cs="Arial" w:eastAsia="Malgun Gothic" w:hAnsi="Arial"/>
                <w:b w:val="false"/>
                <w:bCs w:val="false"/>
                <w:i w:val="false"/>
                <w:iCs w:val="false"/>
                <w:color w:val="1D1D1D"/>
                <w:sz w:val="21"/>
                <w:szCs w:val="21"/>
              </w:rPr>
              <w:t xml:space="preserve">The two companies’ fiscal years overlap by seven months. Nike’s income statement includes January through May 2020, while Adidas’ statements cover January through May 2019 (both cover June through December 2019).</w:t>
            </w:r>
          </w:p>
          <w:p>
            <w:pPr>
              <w:spacing w:after="0" w:before="0" w:line="264"/>
            </w:pPr>
            <w:r>
              <w:rPr>
                <w:rFonts w:ascii="Arial" w:cs="Arial" w:eastAsia="Malgun Gothic" w:hAnsi="Arial"/>
                <w:b w:val="false"/>
                <w:bCs w:val="false"/>
                <w:i w:val="false"/>
                <w:iCs w:val="false"/>
                <w:color w:val="1D1D1D"/>
                <w:sz w:val="21"/>
                <w:szCs w:val="21"/>
              </w:rPr>
              <w:t xml:space="preserve">Economic conditions were not materially different in the first two months of 2020 relative to 2019. However, beginning in </w:t>
            </w:r>
            <w:r>
              <w:rPr>
                <w:rFonts w:ascii="Arial" w:cs="Arial" w:eastAsia="Malgun Gothic" w:hAnsi="Arial"/>
                <w:b/>
                <w:bCs/>
                <w:i w:val="false"/>
                <w:iCs w:val="false"/>
                <w:color w:val="1D1D1D"/>
                <w:sz w:val="21"/>
                <w:szCs w:val="21"/>
              </w:rPr>
              <w:t xml:space="preserve">March 2020 the Covid pandemic likely affected Nike’s performance</w:t>
            </w:r>
            <w:r>
              <w:rPr>
                <w:rFonts w:ascii="Arial" w:cs="Arial" w:eastAsia="Malgun Gothic" w:hAnsi="Arial"/>
                <w:b w:val="false"/>
                <w:bCs w:val="false"/>
                <w:i w:val="false"/>
                <w:iCs w:val="false"/>
                <w:color w:val="1D1D1D"/>
                <w:sz w:val="21"/>
                <w:szCs w:val="21"/>
              </w:rPr>
              <w:t xml:space="preserve">. This suggests using caution when comparing these two competitors.</w:t>
            </w:r>
          </w:p>
        </w:tc>
      </w:tr>
    </w:tbl>
    <w:p>
      <w:pPr>
        <w:spacing w:after="15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f.  Effect of U.S. GAAP vs. IFRS</w:t>
            </w:r>
          </w:p>
          <w:p>
            <w:pPr>
              <w:spacing w:after="0" w:before="0" w:line="264"/>
            </w:pPr>
            <w:r>
              <w:rPr>
                <w:rFonts w:ascii="Arial" w:cs="Arial" w:eastAsia="Malgun Gothic" w:hAnsi="Arial"/>
                <w:b w:val="false"/>
                <w:bCs w:val="false"/>
                <w:i w:val="false"/>
                <w:iCs w:val="false"/>
                <w:color w:val="1D1D1D"/>
                <w:sz w:val="21"/>
                <w:szCs w:val="21"/>
              </w:rPr>
              <w:t xml:space="preserve">Normally we would identify any major differences in the valuation of assets and the measurement of income. For example, some assets are more likely to be carried at </w:t>
            </w:r>
            <w:r>
              <w:rPr>
                <w:rFonts w:ascii="Arial" w:cs="Arial" w:eastAsia="Malgun Gothic" w:hAnsi="Arial"/>
                <w:b/>
                <w:bCs/>
                <w:i w:val="false"/>
                <w:iCs w:val="false"/>
                <w:color w:val="1D1D1D"/>
                <w:sz w:val="21"/>
                <w:szCs w:val="21"/>
              </w:rPr>
              <w:t xml:space="preserve">current value rather than historical cost</w:t>
            </w:r>
            <w:r>
              <w:rPr>
                <w:rFonts w:ascii="Arial" w:cs="Arial" w:eastAsia="Malgun Gothic" w:hAnsi="Arial"/>
                <w:b w:val="false"/>
                <w:bCs w:val="false"/>
                <w:i w:val="false"/>
                <w:iCs w:val="false"/>
                <w:color w:val="1D1D1D"/>
                <w:sz w:val="21"/>
                <w:szCs w:val="21"/>
              </w:rPr>
              <w:t xml:space="preserve"> under IFRS. Such a difference would affect ratios including ROA, AT, INVT, and PPET.</w:t>
            </w:r>
          </w:p>
        </w:tc>
      </w:tr>
    </w:tbl>
    <w:p>
      <w:pPr>
        <w:spacing w:after="150" w:line="60"/>
      </w:pPr>
    </w:p>
    <w:p>
      <w:pPr>
        <w:pageBreakBefore/>
        <w:spacing w:after="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shd w:fill="1F4899" w:color="auto" w:val="clear"/>
            <w:tcMar>
              <w:top w:type="dxa" w:w="85"/>
              <w:left w:type="dxa" w:w="200"/>
              <w:bottom w:type="dxa" w:w="85"/>
              <w:right w:type="dxa" w:w="200"/>
            </w:tcMar>
          </w:tcPr>
          <w:p>
            <w:pPr>
              <w:spacing w:after="0" w:before="0" w:line="264"/>
            </w:pPr>
            <w:r>
              <w:rPr>
                <w:rFonts w:ascii="Arial" w:cs="Arial" w:eastAsia="Malgun Gothic" w:hAnsi="Arial"/>
                <w:b/>
                <w:bCs/>
                <w:i w:val="false"/>
                <w:iCs w:val="false"/>
                <w:color w:val="FFFFFF"/>
                <w:sz w:val="23"/>
                <w:szCs w:val="23"/>
              </w:rPr>
              <w:t xml:space="preserve">P5-37  ·  Liquidity and Solvency for Competitors — Nike vs. Adidas</w:t>
            </w:r>
          </w:p>
        </w:tc>
      </w:tr>
    </w:tbl>
    <w:p>
      <w:pPr>
        <w:spacing w:after="150" w:line="60"/>
      </w:pPr>
    </w:p>
    <w:p>
      <w:pPr>
        <w:keepNext/>
        <w:spacing w:after="60" w:line="250"/>
      </w:pPr>
      <w:r>
        <w:rPr>
          <w:rFonts w:ascii="Arial" w:cs="Arial" w:eastAsia="Malgun Gothic" w:hAnsi="Arial"/>
          <w:b/>
          <w:bCs/>
          <w:i w:val="false"/>
          <w:iCs w:val="false"/>
          <w:color w:val="1F4899"/>
          <w:sz w:val="20"/>
          <w:szCs w:val="20"/>
        </w:rPr>
        <w:t xml:space="preserve">a.  Current ratio and quick ratio</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1700"/>
        <w:gridCol w:w="900"/>
        <w:gridCol w:w="3380"/>
        <w:gridCol w:w="3380"/>
      </w:tblGrid>
      <w:tr>
        <w:trPr>
          <w:tblHeader/>
        </w:trPr>
        <w:tc>
          <w:tcPr>
            <w:tcW w:type="dxa" w:w="17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Measure</w:t>
            </w:r>
          </w:p>
        </w:tc>
        <w:tc>
          <w:tcPr>
            <w:tcW w:type="dxa" w:w="9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Year</w:t>
            </w:r>
          </w:p>
        </w:tc>
        <w:tc>
          <w:tcPr>
            <w:tcW w:type="dxa" w:w="338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Nike ($ millions)</w:t>
            </w:r>
          </w:p>
        </w:tc>
        <w:tc>
          <w:tcPr>
            <w:tcW w:type="dxa" w:w="338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Adidas (€ millions)</w:t>
            </w:r>
          </w:p>
        </w:tc>
      </w:tr>
      <w:tr>
        <w:tc>
          <w:tcPr>
            <w:tcW w:type="dxa" w:w="17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Current ratio</w:t>
            </w:r>
          </w:p>
        </w:tc>
        <w:tc>
          <w:tcPr>
            <w:tcW w:type="dxa" w:w="9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2020</w:t>
            </w:r>
          </w:p>
        </w:tc>
        <w:tc>
          <w:tcPr>
            <w:tcW w:type="dxa" w:w="33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20,556 / 8,284 = 2.48</w:t>
            </w:r>
          </w:p>
        </w:tc>
        <w:tc>
          <w:tcPr>
            <w:tcW w:type="dxa" w:w="33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10,934 / 8,754 = 1.25</w:t>
            </w:r>
          </w:p>
        </w:tc>
      </w:tr>
      <w:tr>
        <w:tc>
          <w:tcPr>
            <w:tcW w:type="dxa" w:w="1700"/>
            <w:shd w:fill="F7F9FC" w:color="auto" w:val="clear"/>
            <w:tcMar>
              <w:top w:type="dxa" w:w="55"/>
              <w:left w:type="dxa" w:w="110"/>
              <w:bottom w:type="dxa" w:w="55"/>
              <w:right w:type="dxa" w:w="110"/>
            </w:tcMar>
            <w:vAlign w:val="center"/>
          </w:tcPr>
          <w:p>
            <w:pPr>
              <w:spacing w:after="0" w:before="0" w:line="264"/>
              <w:jc w:val="left"/>
            </w:pPr>
          </w:p>
        </w:tc>
        <w:tc>
          <w:tcPr>
            <w:tcW w:type="dxa" w:w="9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2019</w:t>
            </w:r>
          </w:p>
        </w:tc>
        <w:tc>
          <w:tcPr>
            <w:tcW w:type="dxa" w:w="33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16,525 / 7,866 = 2.10</w:t>
            </w:r>
          </w:p>
        </w:tc>
        <w:tc>
          <w:tcPr>
            <w:tcW w:type="dxa" w:w="33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9,813 / 6,834 = 1.44</w:t>
            </w:r>
          </w:p>
        </w:tc>
      </w:tr>
      <w:tr>
        <w:tc>
          <w:tcPr>
            <w:tcW w:type="dxa" w:w="17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Quick ratio</w:t>
            </w:r>
          </w:p>
        </w:tc>
        <w:tc>
          <w:tcPr>
            <w:tcW w:type="dxa" w:w="9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2020</w:t>
            </w:r>
          </w:p>
        </w:tc>
        <w:tc>
          <w:tcPr>
            <w:tcW w:type="dxa" w:w="33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(8,348 + 439 + 2,749) / 8,284 = 1.39</w:t>
            </w:r>
          </w:p>
        </w:tc>
        <w:tc>
          <w:tcPr>
            <w:tcW w:type="dxa" w:w="33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(2,220 + 836 + 2,625) / 8,754 = 0.65</w:t>
            </w:r>
          </w:p>
        </w:tc>
      </w:tr>
      <w:tr>
        <w:tc>
          <w:tcPr>
            <w:tcW w:type="dxa" w:w="1700"/>
            <w:shd w:fill="F7F9FC" w:color="auto" w:val="clear"/>
            <w:tcMar>
              <w:top w:type="dxa" w:w="55"/>
              <w:left w:type="dxa" w:w="110"/>
              <w:bottom w:type="dxa" w:w="55"/>
              <w:right w:type="dxa" w:w="110"/>
            </w:tcMar>
            <w:vAlign w:val="center"/>
          </w:tcPr>
          <w:p>
            <w:pPr>
              <w:spacing w:after="0" w:before="0" w:line="264"/>
              <w:jc w:val="left"/>
            </w:pPr>
          </w:p>
        </w:tc>
        <w:tc>
          <w:tcPr>
            <w:tcW w:type="dxa" w:w="9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2019</w:t>
            </w:r>
          </w:p>
        </w:tc>
        <w:tc>
          <w:tcPr>
            <w:tcW w:type="dxa" w:w="33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(4,466 + 197 + 4,272) / 7,866 = 1.14</w:t>
            </w:r>
          </w:p>
        </w:tc>
        <w:tc>
          <w:tcPr>
            <w:tcW w:type="dxa" w:w="33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(2,629 + 548 + 2,418) / 6,834 = 0.82</w:t>
            </w:r>
          </w:p>
        </w:tc>
      </w:tr>
    </w:tbl>
    <w:p>
      <w:pPr>
        <w:spacing w:after="16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Interpretation</w:t>
            </w:r>
          </w:p>
          <w:p>
            <w:pPr>
              <w:spacing w:after="0" w:before="0" w:line="264"/>
            </w:pPr>
            <w:r>
              <w:rPr>
                <w:rFonts w:ascii="Arial" w:cs="Arial" w:eastAsia="Malgun Gothic" w:hAnsi="Arial"/>
                <w:b w:val="false"/>
                <w:bCs w:val="false"/>
                <w:i w:val="false"/>
                <w:iCs w:val="false"/>
                <w:color w:val="1D1D1D"/>
                <w:sz w:val="21"/>
                <w:szCs w:val="21"/>
              </w:rPr>
              <w:t xml:space="preserve">Nike appears to be </w:t>
            </w:r>
            <w:r>
              <w:rPr>
                <w:rFonts w:ascii="Arial" w:cs="Arial" w:eastAsia="Malgun Gothic" w:hAnsi="Arial"/>
                <w:b/>
                <w:bCs/>
                <w:i w:val="false"/>
                <w:iCs w:val="false"/>
                <w:color w:val="1D1D1D"/>
                <w:sz w:val="21"/>
                <w:szCs w:val="21"/>
              </w:rPr>
              <w:t xml:space="preserve">more liquid than Adidas</w:t>
            </w:r>
            <w:r>
              <w:rPr>
                <w:rFonts w:ascii="Arial" w:cs="Arial" w:eastAsia="Malgun Gothic" w:hAnsi="Arial"/>
                <w:b w:val="false"/>
                <w:bCs w:val="false"/>
                <w:i w:val="false"/>
                <w:iCs w:val="false"/>
                <w:color w:val="1D1D1D"/>
                <w:sz w:val="21"/>
                <w:szCs w:val="21"/>
              </w:rPr>
              <w:t xml:space="preserve">. Its current ratio is around 2.5 and its quick ratio near 1.4 — both close to the medians for the apparel industry. In fact, Nike’s quick ratio is higher than Adidas’s current ratio.</w:t>
            </w:r>
          </w:p>
        </w:tc>
      </w:tr>
    </w:tbl>
    <w:p>
      <w:pPr>
        <w:spacing w:after="150" w:line="60"/>
      </w:pPr>
    </w:p>
    <w:p>
      <w:pPr>
        <w:keepNext/>
        <w:spacing w:after="60" w:line="250"/>
      </w:pPr>
      <w:r>
        <w:rPr>
          <w:rFonts w:ascii="Arial" w:cs="Arial" w:eastAsia="Malgun Gothic" w:hAnsi="Arial"/>
          <w:b/>
          <w:bCs/>
          <w:i w:val="false"/>
          <w:iCs w:val="false"/>
          <w:color w:val="1F4899"/>
          <w:sz w:val="20"/>
          <w:szCs w:val="20"/>
        </w:rPr>
        <w:t xml:space="preserve">b.  Times interest earned and debt-to-equity</w:t>
      </w:r>
    </w:p>
    <w:tbl>
      <w:tblPr>
        <w:tblW w:type="dxa" w:w="9360"/>
        <w:tblBorders>
          <w:top w:val="single" w:color="1F4899" w:sz="8"/>
          <w:left w:val="single" w:color="1F4899" w:sz="8"/>
          <w:bottom w:val="single" w:color="1F4899" w:sz="8"/>
          <w:right w:val="single" w:color="1F4899" w:sz="8"/>
          <w:insideH w:val="single" w:color="D5DEEC" w:sz="4"/>
          <w:insideV w:val="single" w:color="D5DEEC" w:sz="4"/>
        </w:tblBorders>
        <w:tblLayout w:type="fixed"/>
      </w:tblPr>
      <w:tblGrid>
        <w:gridCol w:w="1900"/>
        <w:gridCol w:w="900"/>
        <w:gridCol w:w="3280"/>
        <w:gridCol w:w="3280"/>
      </w:tblGrid>
      <w:tr>
        <w:trPr>
          <w:tblHeader/>
        </w:trPr>
        <w:tc>
          <w:tcPr>
            <w:tcW w:type="dxa" w:w="19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Measure</w:t>
            </w:r>
          </w:p>
        </w:tc>
        <w:tc>
          <w:tcPr>
            <w:tcW w:type="dxa" w:w="90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Year</w:t>
            </w:r>
          </w:p>
        </w:tc>
        <w:tc>
          <w:tcPr>
            <w:tcW w:type="dxa" w:w="328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Nike ($ millions)</w:t>
            </w:r>
          </w:p>
        </w:tc>
        <w:tc>
          <w:tcPr>
            <w:tcW w:type="dxa" w:w="3280"/>
            <w:shd w:fill="1F4899" w:color="auto" w:val="clear"/>
            <w:tcMar>
              <w:top w:type="dxa" w:w="65"/>
              <w:left w:type="dxa" w:w="110"/>
              <w:bottom w:type="dxa" w:w="65"/>
              <w:right w:type="dxa" w:w="110"/>
            </w:tcMar>
          </w:tcPr>
          <w:p>
            <w:pPr>
              <w:spacing w:after="0" w:before="0" w:line="264"/>
              <w:jc w:val="left"/>
            </w:pPr>
            <w:r>
              <w:rPr>
                <w:rFonts w:ascii="Arial" w:cs="Arial" w:eastAsia="Malgun Gothic" w:hAnsi="Arial"/>
                <w:b/>
                <w:bCs/>
                <w:i w:val="false"/>
                <w:iCs w:val="false"/>
                <w:color w:val="FFFFFF"/>
                <w:sz w:val="19"/>
                <w:szCs w:val="19"/>
              </w:rPr>
              <w:t xml:space="preserve">Adidas (€ millions)</w:t>
            </w:r>
          </w:p>
        </w:tc>
      </w:tr>
      <w:tr>
        <w:tc>
          <w:tcPr>
            <w:tcW w:type="dxa" w:w="19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TIE</w:t>
            </w:r>
          </w:p>
        </w:tc>
        <w:tc>
          <w:tcPr>
            <w:tcW w:type="dxa" w:w="9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2020</w:t>
            </w:r>
          </w:p>
        </w:tc>
        <w:tc>
          <w:tcPr>
            <w:tcW w:type="dxa" w:w="32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(2,887 + 89) / 89 = 33.44</w:t>
            </w:r>
          </w:p>
        </w:tc>
        <w:tc>
          <w:tcPr>
            <w:tcW w:type="dxa" w:w="32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(2,558 + 166) / 166 = 16.41</w:t>
            </w:r>
          </w:p>
        </w:tc>
      </w:tr>
      <w:tr>
        <w:tc>
          <w:tcPr>
            <w:tcW w:type="dxa" w:w="1900"/>
            <w:shd w:fill="F7F9FC" w:color="auto" w:val="clear"/>
            <w:tcMar>
              <w:top w:type="dxa" w:w="55"/>
              <w:left w:type="dxa" w:w="110"/>
              <w:bottom w:type="dxa" w:w="55"/>
              <w:right w:type="dxa" w:w="110"/>
            </w:tcMar>
            <w:vAlign w:val="center"/>
          </w:tcPr>
          <w:p>
            <w:pPr>
              <w:spacing w:after="0" w:before="0" w:line="264"/>
              <w:jc w:val="left"/>
            </w:pPr>
          </w:p>
        </w:tc>
        <w:tc>
          <w:tcPr>
            <w:tcW w:type="dxa" w:w="9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2019</w:t>
            </w:r>
          </w:p>
        </w:tc>
        <w:tc>
          <w:tcPr>
            <w:tcW w:type="dxa" w:w="32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(4,801 + 49) / 49 = 98.98</w:t>
            </w:r>
          </w:p>
        </w:tc>
        <w:tc>
          <w:tcPr>
            <w:tcW w:type="dxa" w:w="32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(2,378 + 47) / 47 = 51.60</w:t>
            </w:r>
          </w:p>
        </w:tc>
      </w:tr>
      <w:tr>
        <w:tc>
          <w:tcPr>
            <w:tcW w:type="dxa" w:w="19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Debt-to-equity</w:t>
            </w:r>
          </w:p>
        </w:tc>
        <w:tc>
          <w:tcPr>
            <w:tcW w:type="dxa" w:w="90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2020</w:t>
            </w:r>
          </w:p>
        </w:tc>
        <w:tc>
          <w:tcPr>
            <w:tcW w:type="dxa" w:w="32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23,287 / 8,055 = 2.89</w:t>
            </w:r>
          </w:p>
        </w:tc>
        <w:tc>
          <w:tcPr>
            <w:tcW w:type="dxa" w:w="3280"/>
            <w:shd w:fill="FFFFFF"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13,622 / 7,058 = 1.93</w:t>
            </w:r>
          </w:p>
        </w:tc>
      </w:tr>
      <w:tr>
        <w:tc>
          <w:tcPr>
            <w:tcW w:type="dxa" w:w="1900"/>
            <w:shd w:fill="F7F9FC" w:color="auto" w:val="clear"/>
            <w:tcMar>
              <w:top w:type="dxa" w:w="55"/>
              <w:left w:type="dxa" w:w="110"/>
              <w:bottom w:type="dxa" w:w="55"/>
              <w:right w:type="dxa" w:w="110"/>
            </w:tcMar>
            <w:vAlign w:val="center"/>
          </w:tcPr>
          <w:p>
            <w:pPr>
              <w:spacing w:after="0" w:before="0" w:line="264"/>
              <w:jc w:val="left"/>
            </w:pPr>
          </w:p>
        </w:tc>
        <w:tc>
          <w:tcPr>
            <w:tcW w:type="dxa" w:w="90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2019</w:t>
            </w:r>
          </w:p>
        </w:tc>
        <w:tc>
          <w:tcPr>
            <w:tcW w:type="dxa" w:w="32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14,677 / 9,040 = 1.62</w:t>
            </w:r>
          </w:p>
        </w:tc>
        <w:tc>
          <w:tcPr>
            <w:tcW w:type="dxa" w:w="3280"/>
            <w:shd w:fill="F7F9FC" w:color="auto" w:val="clear"/>
            <w:tcMar>
              <w:top w:type="dxa" w:w="55"/>
              <w:left w:type="dxa" w:w="110"/>
              <w:bottom w:type="dxa" w:w="55"/>
              <w:right w:type="dxa" w:w="110"/>
            </w:tcMar>
            <w:vAlign w:val="center"/>
          </w:tcPr>
          <w:p>
            <w:pPr>
              <w:spacing w:after="0" w:before="0" w:line="264"/>
              <w:jc w:val="left"/>
            </w:pPr>
            <w:r>
              <w:rPr>
                <w:rFonts w:ascii="Arial" w:cs="Arial" w:eastAsia="Malgun Gothic" w:hAnsi="Arial"/>
                <w:b w:val="false"/>
                <w:bCs w:val="false"/>
                <w:i w:val="false"/>
                <w:iCs w:val="false"/>
                <w:color w:val="1D1D1D"/>
                <w:sz w:val="19"/>
                <w:szCs w:val="19"/>
              </w:rPr>
              <w:t xml:space="preserve">9,248 / 6,364 = 1.45</w:t>
            </w:r>
          </w:p>
        </w:tc>
      </w:tr>
    </w:tbl>
    <w:p>
      <w:pPr>
        <w:spacing w:after="160" w:line="60"/>
      </w:pPr>
    </w:p>
    <w:tbl>
      <w:tblPr>
        <w:tblW w:type="dxa" w:w="9360"/>
        <w:tblBorders>
          <w:top w:val="single" w:color="92D050" w:sz="6"/>
          <w:left w:val="single" w:color="92D050" w:sz="6"/>
          <w:bottom w:val="single" w:color="92D050" w:sz="6"/>
          <w:right w:val="single" w:color="92D050" w:sz="6"/>
          <w:insideH w:val="none" w:color="FFFFFF" w:sz="0"/>
          <w:insideV w:val="none" w:color="FFFFFF" w:sz="0"/>
        </w:tblBorders>
        <w:tblLayout w:type="fixed"/>
      </w:tblPr>
      <w:tblGrid>
        <w:gridCol w:w="9360"/>
      </w:tblGrid>
      <w:tr>
        <w:trPr>
          <w:cantSplit/>
        </w:trPr>
        <w:tc>
          <w:tcPr>
            <w:tcW w:type="dxa" w:w="9360"/>
            <w:shd w:fill="E5FCED" w:color="auto" w:val="clear"/>
            <w:tcMar>
              <w:top w:type="dxa" w:w="105"/>
              <w:left w:type="dxa" w:w="165"/>
              <w:bottom w:type="dxa" w:w="105"/>
              <w:right w:type="dxa" w:w="165"/>
            </w:tcMar>
          </w:tcPr>
          <w:p>
            <w:pPr>
              <w:spacing w:after="55" w:before="0" w:line="264"/>
            </w:pPr>
            <w:r>
              <w:rPr>
                <w:rFonts w:ascii="Arial" w:cs="Arial" w:eastAsia="Malgun Gothic" w:hAnsi="Arial"/>
                <w:b/>
                <w:bCs/>
                <w:i w:val="false"/>
                <w:iCs w:val="false"/>
                <w:color w:val="4E8B2C"/>
                <w:sz w:val="22"/>
                <w:szCs w:val="22"/>
              </w:rPr>
              <w:t xml:space="preserve">c.  Overall comparison</w:t>
            </w:r>
          </w:p>
          <w:p>
            <w:pPr>
              <w:spacing w:after="55" w:before="0" w:line="264"/>
            </w:pPr>
            <w:r>
              <w:rPr>
                <w:rFonts w:ascii="Arial" w:cs="Arial" w:eastAsia="Malgun Gothic" w:hAnsi="Arial"/>
                <w:b w:val="false"/>
                <w:bCs w:val="false"/>
                <w:i w:val="false"/>
                <w:iCs w:val="false"/>
                <w:color w:val="1D1D1D"/>
                <w:sz w:val="21"/>
                <w:szCs w:val="21"/>
              </w:rPr>
              <w:t xml:space="preserve">Nike’s debt-to-equity ratio is above the apparel industry average in 2020 and </w:t>
            </w:r>
            <w:r>
              <w:rPr>
                <w:rFonts w:ascii="Arial" w:cs="Arial" w:eastAsia="Malgun Gothic" w:hAnsi="Arial"/>
                <w:b/>
                <w:bCs/>
                <w:i w:val="false"/>
                <w:iCs w:val="false"/>
                <w:color w:val="1D1D1D"/>
                <w:sz w:val="21"/>
                <w:szCs w:val="21"/>
              </w:rPr>
              <w:t xml:space="preserve">increased significantly</w:t>
            </w:r>
            <w:r>
              <w:rPr>
                <w:rFonts w:ascii="Arial" w:cs="Arial" w:eastAsia="Malgun Gothic" w:hAnsi="Arial"/>
                <w:b w:val="false"/>
                <w:bCs w:val="false"/>
                <w:i w:val="false"/>
                <w:iCs w:val="false"/>
                <w:color w:val="1D1D1D"/>
                <w:sz w:val="21"/>
                <w:szCs w:val="21"/>
              </w:rPr>
              <w:t xml:space="preserve"> during the year. Adidas’s ratio is lower but also went up in 2020.</w:t>
            </w:r>
          </w:p>
          <w:p>
            <w:pPr>
              <w:spacing w:after="0" w:before="0" w:line="264"/>
            </w:pPr>
            <w:r>
              <w:rPr>
                <w:rFonts w:ascii="Arial" w:cs="Arial" w:eastAsia="Malgun Gothic" w:hAnsi="Arial"/>
                <w:b w:val="false"/>
                <w:bCs w:val="false"/>
                <w:i w:val="false"/>
                <w:iCs w:val="false"/>
                <w:color w:val="1D1D1D"/>
                <w:sz w:val="21"/>
                <w:szCs w:val="21"/>
              </w:rPr>
              <w:t xml:space="preserve">Both companies’ times interest earned ratios fell sharply, but from very high levels — even after the decline, both cover interest many times over. Neither company’s ability to meet its debt obligations appears to be in immediate question.</w:t>
            </w:r>
          </w:p>
        </w:tc>
      </w:tr>
    </w:tbl>
    <w:p>
      <w:pPr>
        <w:spacing w:after="150" w:line="60"/>
      </w:pP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Malgun Gothic" w:hAnsi="Arial"/>
        <w:b w:val="false"/>
        <w:bCs w:val="false"/>
        <w:i w:val="false"/>
        <w:iCs w:val="false"/>
        <w:color w:val="767676"/>
        <w:sz w:val="15"/>
        <w:szCs w:val="15"/>
      </w:rPr>
      <w:t xml:space="preserve">Chapter 5  ·  Ratio Analysis          </w:t>
    </w:r>
    <w:r>
      <w:rPr>
        <w:rFonts w:ascii="Arial" w:cs="Arial" w:eastAsia="Malgun Gothic" w:hAnsi="Arial"/>
        <w:color w:val="76767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removePersonalInformation/>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D1D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bbef029ab2a3b7a6351aff92b97512d84814eb.png"/><Relationship Id="rId9" Type="http://schemas.openxmlformats.org/officeDocument/2006/relationships/image" Target="media/49c6c344fa66c02178d50df85f73184a8a4c93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2026-08-04T01:51:00.399Z</dcterms:created>
  <dcterms:modified xsi:type="dcterms:W3CDTF">2026-08-04T01:51:00.399Z</dcterms:modified>
</cp:coreProperties>
</file>

<file path=docProps/custom.xml><?xml version="1.0" encoding="utf-8"?>
<Properties xmlns="http://schemas.openxmlformats.org/officeDocument/2006/custom-properties" xmlns:vt="http://schemas.openxmlformats.org/officeDocument/2006/docPropsVTypes"/>
</file>