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5" w:line="330"/>
        <w:jc w:val="center"/>
      </w:pPr>
      <w:r>
        <w:rPr>
          <w:rFonts w:ascii="Arial" w:cs="Arial" w:eastAsia="Malgun Gothic" w:hAnsi="Arial"/>
          <w:b/>
          <w:bCs/>
          <w:i w:val="false"/>
          <w:iCs w:val="false"/>
          <w:color w:val="1F4899"/>
          <w:sz w:val="38"/>
          <w:szCs w:val="38"/>
        </w:rPr>
        <w:t xml:space="preserve">Chapter 7 — Reporting and Analyzing Inventory</w:t>
      </w:r>
    </w:p>
    <w:p>
      <w:pPr>
        <w:pBdr>
          <w:bottom w:val="single" w:color="1F4899" w:sz="10" w:space="6"/>
        </w:pBdr>
        <w:spacing w:after="240" w:line="240"/>
        <w:jc w:val="center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F4899"/>
          <w:sz w:val="22"/>
          <w:szCs w:val="22"/>
        </w:rPr>
        <w:t xml:space="preserve">Homework Solutions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1F4899" w:color="auto" w:val="clear"/>
            <w:tcMar>
              <w:top w:type="dxa" w:w="85"/>
              <w:left w:type="dxa" w:w="200"/>
              <w:bottom w:type="dxa" w:w="85"/>
              <w:right w:type="dxa" w:w="200"/>
            </w:tcMar>
          </w:tcPr>
          <w:p>
            <w:pPr>
              <w:spacing w:after="0" w:before="0" w:line="264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Part 1  ·  Discussion Questions</w:t>
            </w:r>
          </w:p>
        </w:tc>
      </w:tr>
    </w:tbl>
    <w:p>
      <w:pPr>
        <w:spacing w:after="150" w:line="60"/>
      </w:pPr>
    </w:p>
    <w:tbl>
      <w:tblPr>
        <w:tblW w:type="dxa" w:w="9360"/>
        <w:tblBorders>
          <w:top w:val="single" w:color="3B82F6" w:sz="6"/>
          <w:left w:val="single" w:color="3B82F6" w:sz="6"/>
          <w:bottom w:val="single" w:color="3B82F6" w:sz="6"/>
          <w:right w:val="single" w:color="3B82F6" w:sz="6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EFF6FF" w:color="auto" w:val="clear"/>
            <w:tcMar>
              <w:top w:type="dxa" w:w="105"/>
              <w:left w:type="dxa" w:w="165"/>
              <w:bottom w:type="dxa" w:w="105"/>
              <w:right w:type="dxa" w:w="165"/>
            </w:tcMar>
          </w:tcPr>
          <w:p>
            <w:pPr>
              <w:spacing w:after="55" w:before="0" w:line="264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F4899"/>
                <w:sz w:val="22"/>
                <w:szCs w:val="22"/>
              </w:rPr>
              <w:t xml:space="preserve">Q7-3</w:t>
            </w:r>
          </w:p>
          <w:p>
            <w:pPr>
              <w:spacing w:after="0" w:before="0" w:line="264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What is one explanation for increased gross profit during periods of rising inventory costs when FIFO is used?</w:t>
            </w:r>
          </w:p>
        </w:tc>
      </w:tr>
    </w:tbl>
    <w:p>
      <w:pPr>
        <w:spacing w:after="90" w:line="60"/>
      </w:pPr>
    </w:p>
    <w:tbl>
      <w:tblPr>
        <w:tblW w:type="dxa" w:w="9360"/>
        <w:tblBorders>
          <w:top w:val="single" w:color="92D050" w:sz="6"/>
          <w:left w:val="single" w:color="92D050" w:sz="6"/>
          <w:bottom w:val="single" w:color="92D050" w:sz="6"/>
          <w:right w:val="single" w:color="92D050" w:sz="6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E5FCED" w:color="auto" w:val="clear"/>
            <w:tcMar>
              <w:top w:type="dxa" w:w="105"/>
              <w:left w:type="dxa" w:w="165"/>
              <w:bottom w:type="dxa" w:w="105"/>
              <w:right w:type="dxa" w:w="165"/>
            </w:tcMar>
          </w:tcPr>
          <w:p>
            <w:pPr>
              <w:spacing w:after="55" w:before="0" w:line="264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4E8B2C"/>
                <w:sz w:val="22"/>
                <w:szCs w:val="22"/>
              </w:rPr>
              <w:t xml:space="preserve">Solution</w:t>
            </w:r>
          </w:p>
          <w:p>
            <w:pPr>
              <w:spacing w:after="0" w:before="0" w:line="264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21"/>
                <w:szCs w:val="21"/>
              </w:rPr>
              <w:t xml:space="preserve">FIFO holding gains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 occur when the costs of earlier inventory acquisitions are matched against current selling prices. Holding gains on inventories increase with an increase in the inflation rate and a decrease in the inventory turnover rate. Conversely, if the inflation rate is low or inventories turn quickly, there will be less holding (inflationary) profit in inventory.</w:t>
            </w:r>
          </w:p>
        </w:tc>
      </w:tr>
    </w:tbl>
    <w:p>
      <w:pPr>
        <w:spacing w:after="150" w:line="60"/>
      </w:pPr>
    </w:p>
    <w:tbl>
      <w:tblPr>
        <w:tblW w:type="dxa" w:w="9360"/>
        <w:tblBorders>
          <w:top w:val="single" w:color="3B82F6" w:sz="6"/>
          <w:left w:val="single" w:color="3B82F6" w:sz="6"/>
          <w:bottom w:val="single" w:color="3B82F6" w:sz="6"/>
          <w:right w:val="single" w:color="3B82F6" w:sz="6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EFF6FF" w:color="auto" w:val="clear"/>
            <w:tcMar>
              <w:top w:type="dxa" w:w="105"/>
              <w:left w:type="dxa" w:w="165"/>
              <w:bottom w:type="dxa" w:w="105"/>
              <w:right w:type="dxa" w:w="165"/>
            </w:tcMar>
          </w:tcPr>
          <w:p>
            <w:pPr>
              <w:spacing w:after="55" w:before="0" w:line="264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F4899"/>
                <w:sz w:val="22"/>
                <w:szCs w:val="22"/>
              </w:rPr>
              <w:t xml:space="preserve">Q7-5</w:t>
            </w:r>
          </w:p>
          <w:p>
            <w:pPr>
              <w:spacing w:after="0" w:before="0" w:line="264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Even though it does not reflect the physical flow of goods, why might companies adopt last-in, first-out inventory costing in periods when costs are consistently rising?</w:t>
            </w:r>
          </w:p>
        </w:tc>
      </w:tr>
    </w:tbl>
    <w:p>
      <w:pPr>
        <w:spacing w:after="90" w:line="60"/>
      </w:pPr>
    </w:p>
    <w:tbl>
      <w:tblPr>
        <w:tblW w:type="dxa" w:w="9360"/>
        <w:tblBorders>
          <w:top w:val="single" w:color="92D050" w:sz="6"/>
          <w:left w:val="single" w:color="92D050" w:sz="6"/>
          <w:bottom w:val="single" w:color="92D050" w:sz="6"/>
          <w:right w:val="single" w:color="92D050" w:sz="6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E5FCED" w:color="auto" w:val="clear"/>
            <w:tcMar>
              <w:top w:type="dxa" w:w="105"/>
              <w:left w:type="dxa" w:w="165"/>
              <w:bottom w:type="dxa" w:w="105"/>
              <w:right w:type="dxa" w:w="165"/>
            </w:tcMar>
          </w:tcPr>
          <w:p>
            <w:pPr>
              <w:spacing w:after="55" w:before="0" w:line="264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4E8B2C"/>
                <w:sz w:val="22"/>
                <w:szCs w:val="22"/>
              </w:rPr>
              <w:t xml:space="preserve">Solution</w:t>
            </w:r>
          </w:p>
          <w:p>
            <w:pPr>
              <w:spacing w:after="0" w:before="0" w:line="264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A significant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21"/>
                <w:szCs w:val="21"/>
              </w:rPr>
              <w:t xml:space="preserve">tax benefit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 results from using LIFO when costs are consistently rising. LIFO produces lower pretax income and therefore lower taxes payable than other inventory costing methods.</w:t>
            </w:r>
          </w:p>
        </w:tc>
      </w:tr>
    </w:tbl>
    <w:p>
      <w:pPr>
        <w:spacing w:after="150" w:line="60"/>
      </w:pPr>
    </w:p>
    <w:tbl>
      <w:tblPr>
        <w:tblW w:type="dxa" w:w="9360"/>
        <w:tblBorders>
          <w:top w:val="single" w:color="3B82F6" w:sz="6"/>
          <w:left w:val="single" w:color="3B82F6" w:sz="6"/>
          <w:bottom w:val="single" w:color="3B82F6" w:sz="6"/>
          <w:right w:val="single" w:color="3B82F6" w:sz="6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EFF6FF" w:color="auto" w:val="clear"/>
            <w:tcMar>
              <w:top w:type="dxa" w:w="105"/>
              <w:left w:type="dxa" w:w="165"/>
              <w:bottom w:type="dxa" w:w="105"/>
              <w:right w:type="dxa" w:w="165"/>
            </w:tcMar>
          </w:tcPr>
          <w:p>
            <w:pPr>
              <w:spacing w:after="55" w:before="0" w:line="264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F4899"/>
                <w:sz w:val="22"/>
                <w:szCs w:val="22"/>
              </w:rPr>
              <w:t xml:space="preserve">Q7-6</w:t>
            </w:r>
          </w:p>
          <w:p>
            <w:pPr>
              <w:spacing w:after="55" w:before="0" w:line="264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In a recent annual report,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D1D1D"/>
                <w:sz w:val="21"/>
                <w:szCs w:val="21"/>
              </w:rPr>
              <w:t xml:space="preserve">Kaiser Aluminum Corporation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 stated that it recorded pretax charges of approximately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21"/>
                <w:szCs w:val="21"/>
              </w:rPr>
              <w:t xml:space="preserve">$19.4 million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 because of a reduction in the carrying values of its inventories, caused principally by prevailing lower prices for alumina, primary aluminum, and fabricated products.</w:t>
            </w:r>
          </w:p>
          <w:p>
            <w:pPr>
              <w:spacing w:after="0" w:before="0" w:line="264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What basic accounting principle caused Kaiser Aluminum to record this charge? Briefly describe the rationale for this principle.</w:t>
            </w:r>
          </w:p>
        </w:tc>
      </w:tr>
    </w:tbl>
    <w:p>
      <w:pPr>
        <w:spacing w:after="90" w:line="60"/>
      </w:pPr>
    </w:p>
    <w:tbl>
      <w:tblPr>
        <w:tblW w:type="dxa" w:w="9360"/>
        <w:tblBorders>
          <w:top w:val="single" w:color="92D050" w:sz="6"/>
          <w:left w:val="single" w:color="92D050" w:sz="6"/>
          <w:bottom w:val="single" w:color="92D050" w:sz="6"/>
          <w:right w:val="single" w:color="92D050" w:sz="6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E5FCED" w:color="auto" w:val="clear"/>
            <w:tcMar>
              <w:top w:type="dxa" w:w="105"/>
              <w:left w:type="dxa" w:w="165"/>
              <w:bottom w:type="dxa" w:w="105"/>
              <w:right w:type="dxa" w:w="165"/>
            </w:tcMar>
          </w:tcPr>
          <w:p>
            <w:pPr>
              <w:spacing w:after="55" w:before="0" w:line="264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4E8B2C"/>
                <w:sz w:val="22"/>
                <w:szCs w:val="22"/>
              </w:rPr>
              <w:t xml:space="preserve">Solution</w:t>
            </w:r>
          </w:p>
          <w:p>
            <w:pPr>
              <w:spacing w:after="0" w:before="0" w:line="264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Kaiser Aluminum is applying the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21"/>
                <w:szCs w:val="21"/>
              </w:rPr>
              <w:t xml:space="preserve">lower of cost or market (LCM)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 rule. When the replacement cost of inventory falls below its (FIFO or LIFO) historical cost, the inventory must be written down to the lower replacement cost (market value).</w:t>
            </w:r>
          </w:p>
        </w:tc>
      </w:tr>
    </w:tbl>
    <w:p>
      <w:pPr>
        <w:spacing w:after="150" w:line="60"/>
      </w:pPr>
    </w:p>
    <w:tbl>
      <w:tblPr>
        <w:tblW w:type="dxa" w:w="9360"/>
        <w:tblBorders>
          <w:top w:val="single" w:color="3B82F6" w:sz="6"/>
          <w:left w:val="single" w:color="3B82F6" w:sz="6"/>
          <w:bottom w:val="single" w:color="3B82F6" w:sz="6"/>
          <w:right w:val="single" w:color="3B82F6" w:sz="6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EFF6FF" w:color="auto" w:val="clear"/>
            <w:tcMar>
              <w:top w:type="dxa" w:w="105"/>
              <w:left w:type="dxa" w:w="165"/>
              <w:bottom w:type="dxa" w:w="105"/>
              <w:right w:type="dxa" w:w="165"/>
            </w:tcMar>
          </w:tcPr>
          <w:p>
            <w:pPr>
              <w:spacing w:after="55" w:before="0" w:line="264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F4899"/>
                <w:sz w:val="22"/>
                <w:szCs w:val="22"/>
              </w:rPr>
              <w:t xml:space="preserve">Q7-8</w:t>
            </w:r>
          </w:p>
          <w:p>
            <w:pPr>
              <w:spacing w:after="0" w:before="0" w:line="264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What is inventory "shrink"? How does a company determine the amount of inventory shrink that may have occurred?</w:t>
            </w:r>
          </w:p>
        </w:tc>
      </w:tr>
    </w:tbl>
    <w:p>
      <w:pPr>
        <w:spacing w:after="90" w:line="60"/>
      </w:pPr>
    </w:p>
    <w:tbl>
      <w:tblPr>
        <w:tblW w:type="dxa" w:w="9360"/>
        <w:tblBorders>
          <w:top w:val="single" w:color="92D050" w:sz="6"/>
          <w:left w:val="single" w:color="92D050" w:sz="6"/>
          <w:bottom w:val="single" w:color="92D050" w:sz="6"/>
          <w:right w:val="single" w:color="92D050" w:sz="6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E5FCED" w:color="auto" w:val="clear"/>
            <w:tcMar>
              <w:top w:type="dxa" w:w="105"/>
              <w:left w:type="dxa" w:w="165"/>
              <w:bottom w:type="dxa" w:w="105"/>
              <w:right w:type="dxa" w:w="165"/>
            </w:tcMar>
          </w:tcPr>
          <w:p>
            <w:pPr>
              <w:spacing w:after="55" w:before="0" w:line="264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4E8B2C"/>
                <w:sz w:val="22"/>
                <w:szCs w:val="22"/>
              </w:rPr>
              <w:t xml:space="preserve">Solution</w:t>
            </w:r>
          </w:p>
          <w:p>
            <w:pPr>
              <w:spacing w:after="0" w:before="0" w:line="264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Inventory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21"/>
                <w:szCs w:val="21"/>
              </w:rPr>
              <w:t xml:space="preserve">shrink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 refers to the loss of inventory due to theft, spoilage, damage, and similar causes. Shrink costs are part of cost of goods sold but do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21"/>
                <w:szCs w:val="21"/>
              </w:rPr>
              <w:t xml:space="preserve">not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 represent goods that were actually sold. The amount is determined by comparing the physical count to the perpetual inventory records.</w:t>
            </w:r>
          </w:p>
        </w:tc>
      </w:tr>
    </w:tbl>
    <w:p>
      <w:pPr>
        <w:spacing w:after="150" w:line="60"/>
      </w:pPr>
    </w:p>
    <w:p>
      <w:pPr>
        <w:pageBreakBefore/>
        <w:spacing w:after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1F4899" w:color="auto" w:val="clear"/>
            <w:tcMar>
              <w:top w:type="dxa" w:w="85"/>
              <w:left w:type="dxa" w:w="200"/>
              <w:bottom w:type="dxa" w:w="85"/>
              <w:right w:type="dxa" w:w="200"/>
            </w:tcMar>
          </w:tcPr>
          <w:p>
            <w:pPr>
              <w:spacing w:after="0" w:before="0" w:line="264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M7-13  ·  Recording an Inventory Purchase (FSET)</w:t>
            </w:r>
          </w:p>
        </w:tc>
      </w:tr>
    </w:tbl>
    <w:p>
      <w:pPr>
        <w:spacing w:after="150" w:line="60"/>
      </w:pPr>
    </w:p>
    <w:tbl>
      <w:tblPr>
        <w:tblW w:type="dxa" w:w="9360"/>
        <w:tblBorders>
          <w:top w:val="single" w:color="3B82F6" w:sz="6"/>
          <w:left w:val="single" w:color="3B82F6" w:sz="6"/>
          <w:bottom w:val="single" w:color="3B82F6" w:sz="6"/>
          <w:right w:val="single" w:color="3B82F6" w:sz="6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EFF6FF" w:color="auto" w:val="clear"/>
            <w:tcMar>
              <w:top w:type="dxa" w:w="105"/>
              <w:left w:type="dxa" w:w="165"/>
              <w:bottom w:type="dxa" w:w="105"/>
              <w:right w:type="dxa" w:w="165"/>
            </w:tcMar>
          </w:tcPr>
          <w:p>
            <w:pPr>
              <w:spacing w:after="55" w:before="0" w:line="264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F4899"/>
                <w:sz w:val="22"/>
                <w:szCs w:val="22"/>
              </w:rPr>
              <w:t xml:space="preserve">Problem</w:t>
            </w:r>
          </w:p>
          <w:p>
            <w:pPr>
              <w:spacing w:after="55" w:before="0" w:line="264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Shields Company has purchased inventories incurring the following costs:</w:t>
            </w:r>
          </w:p>
          <w:p>
            <w:pPr>
              <w:spacing w:after="55" w:before="0" w:line="264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21"/>
                <w:szCs w:val="21"/>
              </w:rPr>
              <w:t xml:space="preserve">(a)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 the invoice amount of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21"/>
                <w:szCs w:val="21"/>
              </w:rPr>
              <w:t xml:space="preserve">$300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, financed through 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21"/>
                <w:szCs w:val="21"/>
              </w:rPr>
              <w:t xml:space="preserve">$250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 note with the remainder paid in cash</w:t>
            </w:r>
          </w:p>
          <w:p>
            <w:pPr>
              <w:spacing w:after="55" w:before="0" w:line="264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21"/>
                <w:szCs w:val="21"/>
              </w:rPr>
              <w:t xml:space="preserve">(b)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 shipping charges of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21"/>
                <w:szCs w:val="21"/>
              </w:rPr>
              <w:t xml:space="preserve">$15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 on account</w:t>
            </w:r>
          </w:p>
          <w:p>
            <w:pPr>
              <w:spacing w:after="55" w:before="0" w:line="264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21"/>
                <w:szCs w:val="21"/>
              </w:rPr>
              <w:t xml:space="preserve">(c)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 interest of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21"/>
                <w:szCs w:val="21"/>
              </w:rPr>
              <w:t xml:space="preserve">$5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 accrued on the $250 borrowed to finance the purchase</w:t>
            </w:r>
          </w:p>
          <w:p>
            <w:pPr>
              <w:spacing w:after="0" w:before="0" w:line="264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21"/>
                <w:szCs w:val="21"/>
              </w:rPr>
              <w:t xml:space="preserve">(d)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21"/>
                <w:szCs w:val="21"/>
              </w:rPr>
              <w:t xml:space="preserve">$4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 on account for the cost of moving the inventory to the company’s warehouse</w:t>
            </w:r>
          </w:p>
        </w:tc>
      </w:tr>
    </w:tbl>
    <w:p>
      <w:pPr>
        <w:spacing w:after="90" w:line="60"/>
      </w:pPr>
    </w:p>
    <w:tbl>
      <w:tblPr>
        <w:tblW w:type="dxa" w:w="9360"/>
        <w:tblBorders>
          <w:top w:val="single" w:color="92D050" w:sz="6"/>
          <w:left w:val="single" w:color="92D050" w:sz="6"/>
          <w:bottom w:val="single" w:color="92D050" w:sz="6"/>
          <w:right w:val="single" w:color="92D050" w:sz="6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E5FCED" w:color="auto" w:val="clear"/>
            <w:tcMar>
              <w:top w:type="dxa" w:w="105"/>
              <w:left w:type="dxa" w:w="165"/>
              <w:bottom w:type="dxa" w:w="105"/>
              <w:right w:type="dxa" w:w="165"/>
            </w:tcMar>
          </w:tcPr>
          <w:p>
            <w:pPr>
              <w:spacing w:after="55" w:before="0" w:line="264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4E8B2C"/>
                <w:sz w:val="22"/>
                <w:szCs w:val="22"/>
              </w:rPr>
              <w:t xml:space="preserve">a.  Cost assigned to inventory</w:t>
            </w:r>
          </w:p>
          <w:p>
            <w:pPr>
              <w:spacing w:after="55" w:before="0" w:line="264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The cost to be assigned to the inventory is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21"/>
                <w:szCs w:val="21"/>
              </w:rPr>
              <w:t xml:space="preserve">$319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 ( = $300 + $15 + $4 ).</w:t>
            </w:r>
          </w:p>
          <w:p>
            <w:pPr>
              <w:spacing w:after="0" w:before="0" w:line="264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The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21"/>
                <w:szCs w:val="21"/>
              </w:rPr>
              <w:t xml:space="preserve">$5 of interest is not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 an inventoriable cost — it is a financing cost and is expensed as incurred.</w:t>
            </w:r>
          </w:p>
        </w:tc>
      </w:tr>
    </w:tbl>
    <w:p>
      <w:pPr>
        <w:spacing w:after="150" w:line="60"/>
      </w:pPr>
    </w:p>
    <w:p>
      <w:pPr>
        <w:keepNext/>
        <w:spacing w:after="60" w:line="250"/>
      </w:pPr>
      <w:r>
        <w:rPr>
          <w:rFonts w:ascii="Arial" w:cs="Arial" w:eastAsia="Malgun Gothic" w:hAnsi="Arial"/>
          <w:b/>
          <w:bCs/>
          <w:i w:val="false"/>
          <w:iCs w:val="false"/>
          <w:color w:val="1F4899"/>
          <w:sz w:val="20"/>
          <w:szCs w:val="20"/>
        </w:rPr>
        <w:t xml:space="preserve">b.  Financial statement effects template</w:t>
      </w:r>
    </w:p>
    <w:tbl>
      <w:tblPr>
        <w:tblW w:type="dxa" w:w="9360"/>
        <w:tblBorders>
          <w:top w:val="single" w:color="1F4899" w:sz="8"/>
          <w:left w:val="single" w:color="1F4899" w:sz="8"/>
          <w:bottom w:val="single" w:color="1F4899" w:sz="8"/>
          <w:right w:val="single" w:color="1F4899" w:sz="8"/>
          <w:insideH w:val="single" w:color="D5DEEC" w:sz="4"/>
          <w:insideV w:val="single" w:color="D5DEEC" w:sz="4"/>
        </w:tblBorders>
        <w:tblLayout w:type="fixed"/>
      </w:tblPr>
      <w:tblGrid>
        <w:gridCol w:w="1900"/>
        <w:gridCol w:w="900"/>
        <w:gridCol w:w="1500"/>
        <w:gridCol w:w="1700"/>
        <w:gridCol w:w="1200"/>
        <w:gridCol w:w="1300"/>
        <w:gridCol w:w="860"/>
      </w:tblGrid>
      <w:tr>
        <w:trPr>
          <w:tblHeader/>
        </w:trPr>
        <w:tc>
          <w:tcPr>
            <w:tcW w:type="dxa" w:w="1900"/>
            <w:shd w:fill="1F4899" w:color="auto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Transaction</w:t>
            </w:r>
          </w:p>
        </w:tc>
        <w:tc>
          <w:tcPr>
            <w:tcW w:type="dxa" w:w="900"/>
            <w:shd w:fill="1F4899" w:color="auto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Cash Asset</w:t>
            </w:r>
          </w:p>
        </w:tc>
        <w:tc>
          <w:tcPr>
            <w:tcW w:type="dxa" w:w="1500"/>
            <w:shd w:fill="1F4899" w:color="auto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Noncash Assets</w:t>
            </w:r>
          </w:p>
        </w:tc>
        <w:tc>
          <w:tcPr>
            <w:tcW w:type="dxa" w:w="1700"/>
            <w:shd w:fill="1F4899" w:color="auto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Liabilities</w:t>
            </w:r>
          </w:p>
        </w:tc>
        <w:tc>
          <w:tcPr>
            <w:tcW w:type="dxa" w:w="1200"/>
            <w:shd w:fill="1F4899" w:color="auto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Earned Capital</w:t>
            </w:r>
          </w:p>
        </w:tc>
        <w:tc>
          <w:tcPr>
            <w:tcW w:type="dxa" w:w="1300"/>
            <w:shd w:fill="1F4899" w:color="auto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Expenses</w:t>
            </w:r>
          </w:p>
        </w:tc>
        <w:tc>
          <w:tcPr>
            <w:tcW w:type="dxa" w:w="860"/>
            <w:shd w:fill="1F4899" w:color="auto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Net Income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a. Purchase inventory</w:t>
            </w:r>
          </w:p>
        </w:tc>
        <w:tc>
          <w:tcPr>
            <w:tcW w:type="dxa" w:w="900"/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−50</w:t>
            </w:r>
          </w:p>
        </w:tc>
        <w:tc>
          <w:tcPr>
            <w:tcW w:type="dxa" w:w="1500"/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+300 Inventory</w:t>
            </w:r>
          </w:p>
        </w:tc>
        <w:tc>
          <w:tcPr>
            <w:tcW w:type="dxa" w:w="1700"/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+250 Note payable</w:t>
            </w:r>
          </w:p>
        </w:tc>
        <w:tc>
          <w:tcPr>
            <w:tcW w:type="dxa" w:w="1200"/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</w:p>
        </w:tc>
        <w:tc>
          <w:tcPr>
            <w:tcW w:type="dxa" w:w="1300"/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</w:p>
        </w:tc>
        <w:tc>
          <w:tcPr>
            <w:tcW w:type="dxa" w:w="860"/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</w:p>
        </w:tc>
      </w:tr>
      <w:tr>
        <w:tc>
          <w:tcPr>
            <w:tcW w:type="dxa" w:w="1900"/>
            <w:shd w:fill="F7F9F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b. Shipping charges</w:t>
            </w:r>
          </w:p>
        </w:tc>
        <w:tc>
          <w:tcPr>
            <w:tcW w:type="dxa" w:w="900"/>
            <w:shd w:fill="F7F9F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</w:p>
        </w:tc>
        <w:tc>
          <w:tcPr>
            <w:tcW w:type="dxa" w:w="1500"/>
            <w:shd w:fill="F7F9F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+15 Inventory</w:t>
            </w:r>
          </w:p>
        </w:tc>
        <w:tc>
          <w:tcPr>
            <w:tcW w:type="dxa" w:w="1700"/>
            <w:shd w:fill="F7F9F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+15 Accounts payable</w:t>
            </w:r>
          </w:p>
        </w:tc>
        <w:tc>
          <w:tcPr>
            <w:tcW w:type="dxa" w:w="1200"/>
            <w:shd w:fill="F7F9F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</w:p>
        </w:tc>
        <w:tc>
          <w:tcPr>
            <w:tcW w:type="dxa" w:w="1300"/>
            <w:shd w:fill="F7F9F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</w:p>
        </w:tc>
        <w:tc>
          <w:tcPr>
            <w:tcW w:type="dxa" w:w="860"/>
            <w:shd w:fill="F7F9F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</w:p>
        </w:tc>
      </w:tr>
      <w:tr>
        <w:tc>
          <w:tcPr>
            <w:tcW w:type="dxa" w:w="1900"/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c. Interest on note</w:t>
            </w:r>
          </w:p>
        </w:tc>
        <w:tc>
          <w:tcPr>
            <w:tcW w:type="dxa" w:w="900"/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</w:p>
        </w:tc>
        <w:tc>
          <w:tcPr>
            <w:tcW w:type="dxa" w:w="1500"/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</w:p>
        </w:tc>
        <w:tc>
          <w:tcPr>
            <w:tcW w:type="dxa" w:w="1700"/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+5 Interest payable</w:t>
            </w:r>
          </w:p>
        </w:tc>
        <w:tc>
          <w:tcPr>
            <w:tcW w:type="dxa" w:w="1200"/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−5</w:t>
            </w:r>
          </w:p>
        </w:tc>
        <w:tc>
          <w:tcPr>
            <w:tcW w:type="dxa" w:w="1300"/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+5 Interest exp.</w:t>
            </w:r>
          </w:p>
        </w:tc>
        <w:tc>
          <w:tcPr>
            <w:tcW w:type="dxa" w:w="860"/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−5</w:t>
            </w:r>
          </w:p>
        </w:tc>
      </w:tr>
      <w:tr>
        <w:tc>
          <w:tcPr>
            <w:tcW w:type="dxa" w:w="1900"/>
            <w:shd w:fill="F7F9F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d. Cost of moving inventory</w:t>
            </w:r>
          </w:p>
        </w:tc>
        <w:tc>
          <w:tcPr>
            <w:tcW w:type="dxa" w:w="900"/>
            <w:shd w:fill="F7F9F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</w:p>
        </w:tc>
        <w:tc>
          <w:tcPr>
            <w:tcW w:type="dxa" w:w="1500"/>
            <w:shd w:fill="F7F9F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+4 Inventory</w:t>
            </w:r>
          </w:p>
        </w:tc>
        <w:tc>
          <w:tcPr>
            <w:tcW w:type="dxa" w:w="1700"/>
            <w:shd w:fill="F7F9F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+4 Accounts payable</w:t>
            </w:r>
          </w:p>
        </w:tc>
        <w:tc>
          <w:tcPr>
            <w:tcW w:type="dxa" w:w="1200"/>
            <w:shd w:fill="F7F9F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</w:p>
        </w:tc>
        <w:tc>
          <w:tcPr>
            <w:tcW w:type="dxa" w:w="1300"/>
            <w:shd w:fill="F7F9F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</w:p>
        </w:tc>
        <w:tc>
          <w:tcPr>
            <w:tcW w:type="dxa" w:w="860"/>
            <w:shd w:fill="F7F9F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</w:p>
        </w:tc>
      </w:tr>
    </w:tbl>
    <w:p>
      <w:pPr>
        <w:spacing w:after="160" w:line="60"/>
      </w:pPr>
    </w:p>
    <w:p>
      <w:pPr>
        <w:pageBreakBefore/>
        <w:spacing w:after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1F4899" w:color="auto" w:val="clear"/>
            <w:tcMar>
              <w:top w:type="dxa" w:w="85"/>
              <w:left w:type="dxa" w:w="200"/>
              <w:bottom w:type="dxa" w:w="85"/>
              <w:right w:type="dxa" w:w="200"/>
            </w:tcMar>
          </w:tcPr>
          <w:p>
            <w:pPr>
              <w:spacing w:after="0" w:before="0" w:line="264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M7-14  ·  Recording an Inventory Purchase (T-Accounts)</w:t>
            </w:r>
          </w:p>
        </w:tc>
      </w:tr>
    </w:tbl>
    <w:p>
      <w:pPr>
        <w:spacing w:after="150" w:line="60"/>
      </w:pPr>
    </w:p>
    <w:p>
      <w:pPr>
        <w:spacing w:after="90" w:before="0" w:line="264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D1D1D"/>
          <w:sz w:val="21"/>
          <w:szCs w:val="21"/>
        </w:rPr>
        <w:t xml:space="preserve">Using the information from M7-13, the postings to each account are as follows.</w:t>
      </w:r>
    </w:p>
    <w:p>
      <w:pPr>
        <w:spacing w:after="0" w:line="60"/>
      </w:pPr>
    </w:p>
    <w:tbl>
      <w:tblPr>
        <w:tblW w:type="dxa" w:w="9360"/>
        <w:tblBorders>
          <w:top w:val="single" w:color="1F4899" w:sz="8"/>
          <w:left w:val="single" w:color="1F4899" w:sz="8"/>
          <w:bottom w:val="single" w:color="1F4899" w:sz="8"/>
          <w:right w:val="single" w:color="1F4899" w:sz="8"/>
          <w:insideH w:val="single" w:color="D5DEEC" w:sz="4"/>
          <w:insideV w:val="single" w:color="D5DEEC" w:sz="4"/>
        </w:tblBorders>
        <w:tblLayout w:type="fixed"/>
      </w:tblPr>
      <w:tblGrid>
        <w:gridCol w:w="3000"/>
        <w:gridCol w:w="3400"/>
        <w:gridCol w:w="2960"/>
      </w:tblGrid>
      <w:tr>
        <w:trPr>
          <w:tblHeader/>
        </w:trPr>
        <w:tc>
          <w:tcPr>
            <w:tcW w:type="dxa" w:w="3000"/>
            <w:shd w:fill="1F4899" w:color="auto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Account</w:t>
            </w:r>
          </w:p>
        </w:tc>
        <w:tc>
          <w:tcPr>
            <w:tcW w:type="dxa" w:w="3400"/>
            <w:shd w:fill="1F4899" w:color="auto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Debit</w:t>
            </w:r>
          </w:p>
        </w:tc>
        <w:tc>
          <w:tcPr>
            <w:tcW w:type="dxa" w:w="2960"/>
            <w:shd w:fill="1F4899" w:color="auto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Credit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Inventory (A)</w:t>
            </w:r>
          </w:p>
        </w:tc>
        <w:tc>
          <w:tcPr>
            <w:tcW w:type="dxa" w:w="3400"/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(a) 300  ·  (b) 15  ·  (d) 4</w:t>
            </w:r>
          </w:p>
        </w:tc>
        <w:tc>
          <w:tcPr>
            <w:tcW w:type="dxa" w:w="2960"/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00"/>
            <w:shd w:fill="F7F9F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Cash (A)</w:t>
            </w:r>
          </w:p>
        </w:tc>
        <w:tc>
          <w:tcPr>
            <w:tcW w:type="dxa" w:w="3400"/>
            <w:shd w:fill="F7F9F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—</w:t>
            </w:r>
          </w:p>
        </w:tc>
        <w:tc>
          <w:tcPr>
            <w:tcW w:type="dxa" w:w="2960"/>
            <w:shd w:fill="F7F9F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(a) 50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Notes payable (L)</w:t>
            </w:r>
          </w:p>
        </w:tc>
        <w:tc>
          <w:tcPr>
            <w:tcW w:type="dxa" w:w="3400"/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—</w:t>
            </w:r>
          </w:p>
        </w:tc>
        <w:tc>
          <w:tcPr>
            <w:tcW w:type="dxa" w:w="2960"/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(a) 250</w:t>
            </w:r>
          </w:p>
        </w:tc>
      </w:tr>
      <w:tr>
        <w:tc>
          <w:tcPr>
            <w:tcW w:type="dxa" w:w="3000"/>
            <w:shd w:fill="F7F9F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Accounts payable (L)</w:t>
            </w:r>
          </w:p>
        </w:tc>
        <w:tc>
          <w:tcPr>
            <w:tcW w:type="dxa" w:w="3400"/>
            <w:shd w:fill="F7F9F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—</w:t>
            </w:r>
          </w:p>
        </w:tc>
        <w:tc>
          <w:tcPr>
            <w:tcW w:type="dxa" w:w="2960"/>
            <w:shd w:fill="F7F9F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(b) 15  ·  (d) 4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Interest expense (E)</w:t>
            </w:r>
          </w:p>
        </w:tc>
        <w:tc>
          <w:tcPr>
            <w:tcW w:type="dxa" w:w="3400"/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(c) 5</w:t>
            </w:r>
          </w:p>
        </w:tc>
        <w:tc>
          <w:tcPr>
            <w:tcW w:type="dxa" w:w="2960"/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00"/>
            <w:shd w:fill="F7F9F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Interest payable (L)</w:t>
            </w:r>
          </w:p>
        </w:tc>
        <w:tc>
          <w:tcPr>
            <w:tcW w:type="dxa" w:w="3400"/>
            <w:shd w:fill="F7F9F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—</w:t>
            </w:r>
          </w:p>
        </w:tc>
        <w:tc>
          <w:tcPr>
            <w:tcW w:type="dxa" w:w="2960"/>
            <w:shd w:fill="F7F9F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(c) 5</w:t>
            </w:r>
          </w:p>
        </w:tc>
      </w:tr>
    </w:tbl>
    <w:p>
      <w:pPr>
        <w:spacing w:after="160" w:line="60"/>
      </w:pPr>
    </w:p>
    <w:tbl>
      <w:tblPr>
        <w:tblW w:type="dxa" w:w="9360"/>
        <w:tblBorders>
          <w:top w:val="single" w:color="C9C9C4" w:sz="6"/>
          <w:left w:val="single" w:color="C9C9C4" w:sz="6"/>
          <w:bottom w:val="single" w:color="C9C9C4" w:sz="6"/>
          <w:right w:val="single" w:color="C9C9C4" w:sz="6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F5F5F3" w:color="auto" w:val="clear"/>
            <w:tcMar>
              <w:top w:type="dxa" w:w="105"/>
              <w:left w:type="dxa" w:w="165"/>
              <w:bottom w:type="dxa" w:w="105"/>
              <w:right w:type="dxa" w:w="165"/>
            </w:tcMar>
          </w:tcPr>
          <w:p>
            <w:pPr>
              <w:spacing w:after="55" w:before="0" w:line="264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5A5A55"/>
                <w:sz w:val="22"/>
                <w:szCs w:val="22"/>
              </w:rPr>
              <w:t xml:space="preserve">Balances</w:t>
            </w:r>
          </w:p>
          <w:p>
            <w:pPr>
              <w:spacing w:after="0" w:before="0" w:line="264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Inventory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21"/>
                <w:szCs w:val="21"/>
              </w:rPr>
              <w:t xml:space="preserve">$319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  ·  Cash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21"/>
                <w:szCs w:val="21"/>
              </w:rPr>
              <w:t xml:space="preserve">−$50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  ·  Notes payable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21"/>
                <w:szCs w:val="21"/>
              </w:rPr>
              <w:t xml:space="preserve">$250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  ·  Accounts payable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21"/>
                <w:szCs w:val="21"/>
              </w:rPr>
              <w:t xml:space="preserve">$19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  ·  Interest payable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21"/>
                <w:szCs w:val="21"/>
              </w:rPr>
              <w:t xml:space="preserve">$5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  ·  Interest expense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21"/>
                <w:szCs w:val="21"/>
              </w:rPr>
              <w:t xml:space="preserve">$5</w:t>
            </w:r>
          </w:p>
        </w:tc>
      </w:tr>
    </w:tbl>
    <w:p>
      <w:pPr>
        <w:spacing w:after="150" w:line="60"/>
      </w:pPr>
    </w:p>
    <w:p>
      <w:pPr>
        <w:pageBreakBefore/>
        <w:spacing w:after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1F4899" w:color="auto" w:val="clear"/>
            <w:tcMar>
              <w:top w:type="dxa" w:w="85"/>
              <w:left w:type="dxa" w:w="200"/>
              <w:bottom w:type="dxa" w:w="85"/>
              <w:right w:type="dxa" w:w="200"/>
            </w:tcMar>
          </w:tcPr>
          <w:p>
            <w:pPr>
              <w:spacing w:after="0" w:before="0" w:line="264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M7-16  ·  Cost of Goods Sold for a Manufacturing Company</w:t>
            </w:r>
          </w:p>
        </w:tc>
      </w:tr>
    </w:tbl>
    <w:p>
      <w:pPr>
        <w:spacing w:after="150" w:line="60"/>
      </w:pPr>
    </w:p>
    <w:tbl>
      <w:tblPr>
        <w:tblW w:type="dxa" w:w="9360"/>
        <w:tblBorders>
          <w:top w:val="single" w:color="3B82F6" w:sz="6"/>
          <w:left w:val="single" w:color="3B82F6" w:sz="6"/>
          <w:bottom w:val="single" w:color="3B82F6" w:sz="6"/>
          <w:right w:val="single" w:color="3B82F6" w:sz="6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EFF6FF" w:color="auto" w:val="clear"/>
            <w:tcMar>
              <w:top w:type="dxa" w:w="105"/>
              <w:left w:type="dxa" w:w="165"/>
              <w:bottom w:type="dxa" w:w="105"/>
              <w:right w:type="dxa" w:w="165"/>
            </w:tcMar>
          </w:tcPr>
          <w:p>
            <w:pPr>
              <w:spacing w:after="55" w:before="0" w:line="264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F4899"/>
                <w:sz w:val="22"/>
                <w:szCs w:val="22"/>
              </w:rPr>
              <w:t xml:space="preserve">Problem</w:t>
            </w:r>
          </w:p>
          <w:p>
            <w:pPr>
              <w:spacing w:after="55" w:before="0" w:line="264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Ybarra Products began operations this year. During its first year the company purchased raw materials costing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21"/>
                <w:szCs w:val="21"/>
              </w:rPr>
              <w:t xml:space="preserve">$100,800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 and used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21"/>
                <w:szCs w:val="21"/>
              </w:rPr>
              <w:t xml:space="preserve">$75,600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 of those materials in production. Manufacturing operations also incurred labor costs of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21"/>
                <w:szCs w:val="21"/>
              </w:rPr>
              <w:t xml:space="preserve">$69,600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 and overhead costs of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21"/>
                <w:szCs w:val="21"/>
              </w:rPr>
              <w:t xml:space="preserve">$33,600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. At year-end, Ybarra had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21"/>
                <w:szCs w:val="21"/>
              </w:rPr>
              <w:t xml:space="preserve">$22,800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 of partially completed product in work-in-process inventory and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21"/>
                <w:szCs w:val="21"/>
              </w:rPr>
              <w:t xml:space="preserve">$42,000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 in finished goods inventory.</w:t>
            </w:r>
          </w:p>
          <w:p>
            <w:pPr>
              <w:spacing w:after="0" w:before="0" w:line="264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What was Ybarra’s cost of goods sold for the year?</w:t>
            </w:r>
          </w:p>
        </w:tc>
      </w:tr>
    </w:tbl>
    <w:p>
      <w:pPr>
        <w:spacing w:after="90" w:line="60"/>
      </w:pPr>
    </w:p>
    <w:p>
      <w:pPr>
        <w:keepNext/>
        <w:spacing w:after="60" w:line="250"/>
      </w:pPr>
      <w:r>
        <w:rPr>
          <w:rFonts w:ascii="Arial" w:cs="Arial" w:eastAsia="Malgun Gothic" w:hAnsi="Arial"/>
          <w:b/>
          <w:bCs/>
          <w:i w:val="false"/>
          <w:iCs w:val="false"/>
          <w:color w:val="1F4899"/>
          <w:sz w:val="20"/>
          <w:szCs w:val="20"/>
        </w:rPr>
        <w:t xml:space="preserve">Raw materials inventory</w:t>
      </w:r>
    </w:p>
    <w:tbl>
      <w:tblPr>
        <w:tblW w:type="dxa" w:w="9360"/>
        <w:tblBorders>
          <w:top w:val="single" w:color="1F4899" w:sz="8"/>
          <w:left w:val="single" w:color="1F4899" w:sz="8"/>
          <w:bottom w:val="single" w:color="1F4899" w:sz="8"/>
          <w:right w:val="single" w:color="1F4899" w:sz="8"/>
          <w:insideH w:val="single" w:color="D5DEEC" w:sz="4"/>
          <w:insideV w:val="single" w:color="D5DEEC" w:sz="4"/>
        </w:tblBorders>
        <w:tblLayout w:type="fixed"/>
      </w:tblPr>
      <w:tblGrid>
        <w:gridCol w:w="5400"/>
        <w:gridCol w:w="700"/>
        <w:gridCol w:w="3260"/>
      </w:tblGrid>
      <w:tr>
        <w:trPr>
          <w:tblHeader/>
        </w:trPr>
        <w:tc>
          <w:tcPr>
            <w:tcW w:type="dxa" w:w="5400"/>
            <w:shd w:fill="1F4899" w:color="auto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1F4899" w:color="auto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260"/>
            <w:shd w:fill="1F4899" w:color="auto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Amount ($)</w:t>
            </w:r>
          </w:p>
        </w:tc>
      </w:tr>
      <w:tr>
        <w:tc>
          <w:tcPr>
            <w:tcW w:type="dxa" w:w="5400"/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Beginning inventory</w:t>
            </w:r>
          </w:p>
        </w:tc>
        <w:tc>
          <w:tcPr>
            <w:tcW w:type="dxa" w:w="700"/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</w:p>
        </w:tc>
        <w:tc>
          <w:tcPr>
            <w:tcW w:type="dxa" w:w="3260"/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5400"/>
            <w:shd w:fill="F7F9F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Purchases</w:t>
            </w:r>
          </w:p>
        </w:tc>
        <w:tc>
          <w:tcPr>
            <w:tcW w:type="dxa" w:w="700"/>
            <w:shd w:fill="F7F9F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+</w:t>
            </w:r>
          </w:p>
        </w:tc>
        <w:tc>
          <w:tcPr>
            <w:tcW w:type="dxa" w:w="3260"/>
            <w:shd w:fill="F7F9F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100,800</w:t>
            </w:r>
          </w:p>
        </w:tc>
      </w:tr>
      <w:tr>
        <w:tc>
          <w:tcPr>
            <w:tcW w:type="dxa" w:w="5400"/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Materials used</w:t>
            </w:r>
          </w:p>
        </w:tc>
        <w:tc>
          <w:tcPr>
            <w:tcW w:type="dxa" w:w="700"/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−</w:t>
            </w:r>
          </w:p>
        </w:tc>
        <w:tc>
          <w:tcPr>
            <w:tcW w:type="dxa" w:w="3260"/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75,600</w:t>
            </w:r>
          </w:p>
        </w:tc>
      </w:tr>
      <w:tr>
        <w:tc>
          <w:tcPr>
            <w:tcW w:type="dxa" w:w="5400"/>
            <w:tcBorders>
              <w:top w:val="single" w:color="1F4899" w:sz="6"/>
            </w:tcBorders>
            <w:shd w:fill="E8EEF8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19"/>
                <w:szCs w:val="19"/>
              </w:rPr>
              <w:t xml:space="preserve">Ending inventory</w:t>
            </w:r>
          </w:p>
        </w:tc>
        <w:tc>
          <w:tcPr>
            <w:tcW w:type="dxa" w:w="700"/>
            <w:tcBorders>
              <w:top w:val="single" w:color="1F4899" w:sz="6"/>
            </w:tcBorders>
            <w:shd w:fill="E8EEF8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</w:p>
        </w:tc>
        <w:tc>
          <w:tcPr>
            <w:tcW w:type="dxa" w:w="3260"/>
            <w:tcBorders>
              <w:top w:val="single" w:color="1F4899" w:sz="6"/>
            </w:tcBorders>
            <w:shd w:fill="E8EEF8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19"/>
                <w:szCs w:val="19"/>
              </w:rPr>
              <w:t xml:space="preserve">25,200</w:t>
            </w:r>
          </w:p>
        </w:tc>
      </w:tr>
    </w:tbl>
    <w:p>
      <w:pPr>
        <w:spacing w:after="160" w:line="60"/>
      </w:pPr>
    </w:p>
    <w:p>
      <w:pPr>
        <w:keepNext/>
        <w:spacing w:after="60" w:line="250"/>
      </w:pPr>
      <w:r>
        <w:rPr>
          <w:rFonts w:ascii="Arial" w:cs="Arial" w:eastAsia="Malgun Gothic" w:hAnsi="Arial"/>
          <w:b/>
          <w:bCs/>
          <w:i w:val="false"/>
          <w:iCs w:val="false"/>
          <w:color w:val="1F4899"/>
          <w:sz w:val="20"/>
          <w:szCs w:val="20"/>
        </w:rPr>
        <w:t xml:space="preserve">Work-in-process inventory</w:t>
      </w:r>
    </w:p>
    <w:tbl>
      <w:tblPr>
        <w:tblW w:type="dxa" w:w="9360"/>
        <w:tblBorders>
          <w:top w:val="single" w:color="1F4899" w:sz="8"/>
          <w:left w:val="single" w:color="1F4899" w:sz="8"/>
          <w:bottom w:val="single" w:color="1F4899" w:sz="8"/>
          <w:right w:val="single" w:color="1F4899" w:sz="8"/>
          <w:insideH w:val="single" w:color="D5DEEC" w:sz="4"/>
          <w:insideV w:val="single" w:color="D5DEEC" w:sz="4"/>
        </w:tblBorders>
        <w:tblLayout w:type="fixed"/>
      </w:tblPr>
      <w:tblGrid>
        <w:gridCol w:w="5400"/>
        <w:gridCol w:w="700"/>
        <w:gridCol w:w="3260"/>
      </w:tblGrid>
      <w:tr>
        <w:trPr>
          <w:tblHeader/>
        </w:trPr>
        <w:tc>
          <w:tcPr>
            <w:tcW w:type="dxa" w:w="5400"/>
            <w:shd w:fill="1F4899" w:color="auto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1F4899" w:color="auto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260"/>
            <w:shd w:fill="1F4899" w:color="auto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Amount ($)</w:t>
            </w:r>
          </w:p>
        </w:tc>
      </w:tr>
      <w:tr>
        <w:tc>
          <w:tcPr>
            <w:tcW w:type="dxa" w:w="5400"/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Beginning inventory</w:t>
            </w:r>
          </w:p>
        </w:tc>
        <w:tc>
          <w:tcPr>
            <w:tcW w:type="dxa" w:w="700"/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</w:p>
        </w:tc>
        <w:tc>
          <w:tcPr>
            <w:tcW w:type="dxa" w:w="3260"/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5400"/>
            <w:shd w:fill="F7F9F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Materials used</w:t>
            </w:r>
          </w:p>
        </w:tc>
        <w:tc>
          <w:tcPr>
            <w:tcW w:type="dxa" w:w="700"/>
            <w:shd w:fill="F7F9F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+</w:t>
            </w:r>
          </w:p>
        </w:tc>
        <w:tc>
          <w:tcPr>
            <w:tcW w:type="dxa" w:w="3260"/>
            <w:shd w:fill="F7F9F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75,600</w:t>
            </w:r>
          </w:p>
        </w:tc>
      </w:tr>
      <w:tr>
        <w:tc>
          <w:tcPr>
            <w:tcW w:type="dxa" w:w="5400"/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Labor costs</w:t>
            </w:r>
          </w:p>
        </w:tc>
        <w:tc>
          <w:tcPr>
            <w:tcW w:type="dxa" w:w="700"/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+</w:t>
            </w:r>
          </w:p>
        </w:tc>
        <w:tc>
          <w:tcPr>
            <w:tcW w:type="dxa" w:w="3260"/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69,600</w:t>
            </w:r>
          </w:p>
        </w:tc>
      </w:tr>
      <w:tr>
        <w:tc>
          <w:tcPr>
            <w:tcW w:type="dxa" w:w="5400"/>
            <w:shd w:fill="F7F9F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Overhead costs</w:t>
            </w:r>
          </w:p>
        </w:tc>
        <w:tc>
          <w:tcPr>
            <w:tcW w:type="dxa" w:w="700"/>
            <w:shd w:fill="F7F9F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+</w:t>
            </w:r>
          </w:p>
        </w:tc>
        <w:tc>
          <w:tcPr>
            <w:tcW w:type="dxa" w:w="3260"/>
            <w:shd w:fill="F7F9F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33,600</w:t>
            </w:r>
          </w:p>
        </w:tc>
      </w:tr>
      <w:tr>
        <w:tc>
          <w:tcPr>
            <w:tcW w:type="dxa" w:w="5400"/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Cost of goods produced</w:t>
            </w:r>
          </w:p>
        </w:tc>
        <w:tc>
          <w:tcPr>
            <w:tcW w:type="dxa" w:w="700"/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−</w:t>
            </w:r>
          </w:p>
        </w:tc>
        <w:tc>
          <w:tcPr>
            <w:tcW w:type="dxa" w:w="3260"/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156,000</w:t>
            </w:r>
          </w:p>
        </w:tc>
      </w:tr>
      <w:tr>
        <w:tc>
          <w:tcPr>
            <w:tcW w:type="dxa" w:w="5400"/>
            <w:tcBorders>
              <w:top w:val="single" w:color="1F4899" w:sz="6"/>
            </w:tcBorders>
            <w:shd w:fill="E8EEF8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19"/>
                <w:szCs w:val="19"/>
              </w:rPr>
              <w:t xml:space="preserve">Ending inventory</w:t>
            </w:r>
          </w:p>
        </w:tc>
        <w:tc>
          <w:tcPr>
            <w:tcW w:type="dxa" w:w="700"/>
            <w:tcBorders>
              <w:top w:val="single" w:color="1F4899" w:sz="6"/>
            </w:tcBorders>
            <w:shd w:fill="E8EEF8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</w:p>
        </w:tc>
        <w:tc>
          <w:tcPr>
            <w:tcW w:type="dxa" w:w="3260"/>
            <w:tcBorders>
              <w:top w:val="single" w:color="1F4899" w:sz="6"/>
            </w:tcBorders>
            <w:shd w:fill="E8EEF8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19"/>
                <w:szCs w:val="19"/>
              </w:rPr>
              <w:t xml:space="preserve">22,800</w:t>
            </w:r>
          </w:p>
        </w:tc>
      </w:tr>
    </w:tbl>
    <w:p>
      <w:pPr>
        <w:spacing w:after="160" w:line="60"/>
      </w:pPr>
    </w:p>
    <w:p>
      <w:pPr>
        <w:keepNext/>
        <w:spacing w:after="60" w:line="250"/>
      </w:pPr>
      <w:r>
        <w:rPr>
          <w:rFonts w:ascii="Arial" w:cs="Arial" w:eastAsia="Malgun Gothic" w:hAnsi="Arial"/>
          <w:b/>
          <w:bCs/>
          <w:i w:val="false"/>
          <w:iCs w:val="false"/>
          <w:color w:val="1F4899"/>
          <w:sz w:val="20"/>
          <w:szCs w:val="20"/>
        </w:rPr>
        <w:t xml:space="preserve">Finished goods inventory</w:t>
      </w:r>
    </w:p>
    <w:tbl>
      <w:tblPr>
        <w:tblW w:type="dxa" w:w="9360"/>
        <w:tblBorders>
          <w:top w:val="single" w:color="1F4899" w:sz="8"/>
          <w:left w:val="single" w:color="1F4899" w:sz="8"/>
          <w:bottom w:val="single" w:color="1F4899" w:sz="8"/>
          <w:right w:val="single" w:color="1F4899" w:sz="8"/>
          <w:insideH w:val="single" w:color="D5DEEC" w:sz="4"/>
          <w:insideV w:val="single" w:color="D5DEEC" w:sz="4"/>
        </w:tblBorders>
        <w:tblLayout w:type="fixed"/>
      </w:tblPr>
      <w:tblGrid>
        <w:gridCol w:w="5400"/>
        <w:gridCol w:w="700"/>
        <w:gridCol w:w="3260"/>
      </w:tblGrid>
      <w:tr>
        <w:trPr>
          <w:tblHeader/>
        </w:trPr>
        <w:tc>
          <w:tcPr>
            <w:tcW w:type="dxa" w:w="5400"/>
            <w:shd w:fill="1F4899" w:color="auto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1F4899" w:color="auto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260"/>
            <w:shd w:fill="1F4899" w:color="auto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Amount ($)</w:t>
            </w:r>
          </w:p>
        </w:tc>
      </w:tr>
      <w:tr>
        <w:tc>
          <w:tcPr>
            <w:tcW w:type="dxa" w:w="5400"/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Beginning inventory</w:t>
            </w:r>
          </w:p>
        </w:tc>
        <w:tc>
          <w:tcPr>
            <w:tcW w:type="dxa" w:w="700"/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</w:p>
        </w:tc>
        <w:tc>
          <w:tcPr>
            <w:tcW w:type="dxa" w:w="3260"/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5400"/>
            <w:shd w:fill="F7F9F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Cost of goods produced</w:t>
            </w:r>
          </w:p>
        </w:tc>
        <w:tc>
          <w:tcPr>
            <w:tcW w:type="dxa" w:w="700"/>
            <w:shd w:fill="F7F9F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+</w:t>
            </w:r>
          </w:p>
        </w:tc>
        <w:tc>
          <w:tcPr>
            <w:tcW w:type="dxa" w:w="3260"/>
            <w:shd w:fill="F7F9F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156,000</w:t>
            </w:r>
          </w:p>
        </w:tc>
      </w:tr>
      <w:tr>
        <w:tc>
          <w:tcPr>
            <w:tcW w:type="dxa" w:w="5400"/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Cost of goods sold</w:t>
            </w:r>
          </w:p>
        </w:tc>
        <w:tc>
          <w:tcPr>
            <w:tcW w:type="dxa" w:w="700"/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−</w:t>
            </w:r>
          </w:p>
        </w:tc>
        <w:tc>
          <w:tcPr>
            <w:tcW w:type="dxa" w:w="3260"/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114,000</w:t>
            </w:r>
          </w:p>
        </w:tc>
      </w:tr>
      <w:tr>
        <w:tc>
          <w:tcPr>
            <w:tcW w:type="dxa" w:w="5400"/>
            <w:tcBorders>
              <w:top w:val="single" w:color="1F4899" w:sz="6"/>
            </w:tcBorders>
            <w:shd w:fill="E8EEF8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19"/>
                <w:szCs w:val="19"/>
              </w:rPr>
              <w:t xml:space="preserve">Ending inventory</w:t>
            </w:r>
          </w:p>
        </w:tc>
        <w:tc>
          <w:tcPr>
            <w:tcW w:type="dxa" w:w="700"/>
            <w:tcBorders>
              <w:top w:val="single" w:color="1F4899" w:sz="6"/>
            </w:tcBorders>
            <w:shd w:fill="E8EEF8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</w:p>
        </w:tc>
        <w:tc>
          <w:tcPr>
            <w:tcW w:type="dxa" w:w="3260"/>
            <w:tcBorders>
              <w:top w:val="single" w:color="1F4899" w:sz="6"/>
            </w:tcBorders>
            <w:shd w:fill="E8EEF8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19"/>
                <w:szCs w:val="19"/>
              </w:rPr>
              <w:t xml:space="preserve">42,000</w:t>
            </w:r>
          </w:p>
        </w:tc>
      </w:tr>
    </w:tbl>
    <w:p>
      <w:pPr>
        <w:spacing w:after="160" w:line="60"/>
      </w:pPr>
    </w:p>
    <w:tbl>
      <w:tblPr>
        <w:tblW w:type="dxa" w:w="9360"/>
        <w:tblBorders>
          <w:top w:val="single" w:color="92D050" w:sz="6"/>
          <w:left w:val="single" w:color="92D050" w:sz="6"/>
          <w:bottom w:val="single" w:color="92D050" w:sz="6"/>
          <w:right w:val="single" w:color="92D050" w:sz="6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E5FCED" w:color="auto" w:val="clear"/>
            <w:tcMar>
              <w:top w:type="dxa" w:w="105"/>
              <w:left w:type="dxa" w:w="165"/>
              <w:bottom w:type="dxa" w:w="105"/>
              <w:right w:type="dxa" w:w="165"/>
            </w:tcMar>
          </w:tcPr>
          <w:p>
            <w:pPr>
              <w:spacing w:after="55" w:before="0" w:line="264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4E8B2C"/>
                <w:sz w:val="22"/>
                <w:szCs w:val="22"/>
              </w:rPr>
              <w:t xml:space="preserve">Answer</w:t>
            </w:r>
          </w:p>
          <w:p>
            <w:pPr>
              <w:spacing w:after="0" w:before="0" w:line="264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Cost of goods sold for the year is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21"/>
                <w:szCs w:val="21"/>
              </w:rPr>
              <w:t xml:space="preserve">$114,000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.</w:t>
            </w:r>
          </w:p>
        </w:tc>
      </w:tr>
    </w:tbl>
    <w:p>
      <w:pPr>
        <w:spacing w:after="150" w:line="60"/>
      </w:pPr>
    </w:p>
    <w:p>
      <w:pPr>
        <w:pageBreakBefore/>
        <w:spacing w:after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1F4899" w:color="auto" w:val="clear"/>
            <w:tcMar>
              <w:top w:type="dxa" w:w="85"/>
              <w:left w:type="dxa" w:w="200"/>
              <w:bottom w:type="dxa" w:w="85"/>
              <w:right w:type="dxa" w:w="200"/>
            </w:tcMar>
          </w:tcPr>
          <w:p>
            <w:pPr>
              <w:spacing w:after="0" w:before="0" w:line="264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M7-20  ·  COGS and Ending Inventory under FIFO, LIFO, and Average Cost</w:t>
            </w:r>
          </w:p>
        </w:tc>
      </w:tr>
    </w:tbl>
    <w:p>
      <w:pPr>
        <w:spacing w:after="150" w:line="60"/>
      </w:pPr>
    </w:p>
    <w:tbl>
      <w:tblPr>
        <w:tblW w:type="dxa" w:w="9360"/>
        <w:tblBorders>
          <w:top w:val="single" w:color="3B82F6" w:sz="6"/>
          <w:left w:val="single" w:color="3B82F6" w:sz="6"/>
          <w:bottom w:val="single" w:color="3B82F6" w:sz="6"/>
          <w:right w:val="single" w:color="3B82F6" w:sz="6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EFF6FF" w:color="auto" w:val="clear"/>
            <w:tcMar>
              <w:top w:type="dxa" w:w="105"/>
              <w:left w:type="dxa" w:w="165"/>
              <w:bottom w:type="dxa" w:w="105"/>
              <w:right w:type="dxa" w:w="165"/>
            </w:tcMar>
          </w:tcPr>
          <w:p>
            <w:pPr>
              <w:spacing w:after="55" w:before="0" w:line="264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F4899"/>
                <w:sz w:val="22"/>
                <w:szCs w:val="22"/>
              </w:rPr>
              <w:t xml:space="preserve">Problem</w:t>
            </w:r>
          </w:p>
          <w:p>
            <w:pPr>
              <w:spacing w:after="0" w:before="0" w:line="264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Gode Company reports the following initial balance and subsequent purchase of inventory. Assume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21"/>
                <w:szCs w:val="21"/>
              </w:rPr>
              <w:t xml:space="preserve">4,250 units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 are sold during the year.</w:t>
            </w:r>
          </w:p>
        </w:tc>
      </w:tr>
    </w:tbl>
    <w:p>
      <w:pPr>
        <w:spacing w:after="90" w:line="60"/>
      </w:pPr>
    </w:p>
    <w:p>
      <w:pPr>
        <w:spacing w:after="0" w:line="60"/>
      </w:pPr>
    </w:p>
    <w:tbl>
      <w:tblPr>
        <w:tblW w:type="dxa" w:w="9360"/>
        <w:tblBorders>
          <w:top w:val="single" w:color="1F4899" w:sz="8"/>
          <w:left w:val="single" w:color="1F4899" w:sz="8"/>
          <w:bottom w:val="single" w:color="1F4899" w:sz="8"/>
          <w:right w:val="single" w:color="1F4899" w:sz="8"/>
          <w:insideH w:val="single" w:color="D5DEEC" w:sz="4"/>
          <w:insideV w:val="single" w:color="D5DEEC" w:sz="4"/>
        </w:tblBorders>
        <w:tblLayout w:type="fixed"/>
      </w:tblPr>
      <w:tblGrid>
        <w:gridCol w:w="3600"/>
        <w:gridCol w:w="1600"/>
        <w:gridCol w:w="2080"/>
        <w:gridCol w:w="2080"/>
      </w:tblGrid>
      <w:tr>
        <w:trPr>
          <w:tblHeader/>
        </w:trPr>
        <w:tc>
          <w:tcPr>
            <w:tcW w:type="dxa" w:w="3600"/>
            <w:shd w:fill="1F4899" w:color="auto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Transaction</w:t>
            </w:r>
          </w:p>
        </w:tc>
        <w:tc>
          <w:tcPr>
            <w:tcW w:type="dxa" w:w="1600"/>
            <w:shd w:fill="1F4899" w:color="auto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Units</w:t>
            </w:r>
          </w:p>
        </w:tc>
        <w:tc>
          <w:tcPr>
            <w:tcW w:type="dxa" w:w="2080"/>
            <w:shd w:fill="1F4899" w:color="auto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Cost per Unit ($)</w:t>
            </w:r>
          </w:p>
        </w:tc>
        <w:tc>
          <w:tcPr>
            <w:tcW w:type="dxa" w:w="2080"/>
            <w:shd w:fill="1F4899" w:color="auto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Total Cost ($)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Beginning inventory</w:t>
            </w:r>
          </w:p>
        </w:tc>
        <w:tc>
          <w:tcPr>
            <w:tcW w:type="dxa" w:w="1600"/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2,500</w:t>
            </w:r>
          </w:p>
        </w:tc>
        <w:tc>
          <w:tcPr>
            <w:tcW w:type="dxa" w:w="2080"/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100</w:t>
            </w:r>
          </w:p>
        </w:tc>
        <w:tc>
          <w:tcPr>
            <w:tcW w:type="dxa" w:w="2080"/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250,000</w:t>
            </w:r>
          </w:p>
        </w:tc>
      </w:tr>
      <w:tr>
        <w:tc>
          <w:tcPr>
            <w:tcW w:type="dxa" w:w="3600"/>
            <w:shd w:fill="F7F9F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Inventory purchased during year</w:t>
            </w:r>
          </w:p>
        </w:tc>
        <w:tc>
          <w:tcPr>
            <w:tcW w:type="dxa" w:w="1600"/>
            <w:shd w:fill="F7F9F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5,000</w:t>
            </w:r>
          </w:p>
        </w:tc>
        <w:tc>
          <w:tcPr>
            <w:tcW w:type="dxa" w:w="2080"/>
            <w:shd w:fill="F7F9F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150</w:t>
            </w:r>
          </w:p>
        </w:tc>
        <w:tc>
          <w:tcPr>
            <w:tcW w:type="dxa" w:w="2080"/>
            <w:shd w:fill="F7F9F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750,000</w:t>
            </w:r>
          </w:p>
        </w:tc>
      </w:tr>
      <w:tr>
        <w:tc>
          <w:tcPr>
            <w:tcW w:type="dxa" w:w="3600"/>
            <w:tcBorders>
              <w:top w:val="single" w:color="1F4899" w:sz="6"/>
            </w:tcBorders>
            <w:shd w:fill="E8EEF8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19"/>
                <w:szCs w:val="19"/>
              </w:rPr>
              <w:t xml:space="preserve">Total (goods available for sale)</w:t>
            </w:r>
          </w:p>
        </w:tc>
        <w:tc>
          <w:tcPr>
            <w:tcW w:type="dxa" w:w="1600"/>
            <w:tcBorders>
              <w:top w:val="single" w:color="1F4899" w:sz="6"/>
            </w:tcBorders>
            <w:shd w:fill="E8EEF8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19"/>
                <w:szCs w:val="19"/>
              </w:rPr>
              <w:t xml:space="preserve">7,500</w:t>
            </w:r>
          </w:p>
        </w:tc>
        <w:tc>
          <w:tcPr>
            <w:tcW w:type="dxa" w:w="2080"/>
            <w:tcBorders>
              <w:top w:val="single" w:color="1F4899" w:sz="6"/>
            </w:tcBorders>
            <w:shd w:fill="E8EEF8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19"/>
                <w:szCs w:val="19"/>
              </w:rPr>
              <w:t xml:space="preserve">—</w:t>
            </w:r>
          </w:p>
        </w:tc>
        <w:tc>
          <w:tcPr>
            <w:tcW w:type="dxa" w:w="2080"/>
            <w:tcBorders>
              <w:top w:val="single" w:color="1F4899" w:sz="6"/>
            </w:tcBorders>
            <w:shd w:fill="E8EEF8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19"/>
                <w:szCs w:val="19"/>
              </w:rPr>
              <w:t xml:space="preserve">1,000,000</w:t>
            </w:r>
          </w:p>
        </w:tc>
      </w:tr>
    </w:tbl>
    <w:p>
      <w:pPr>
        <w:spacing w:after="160" w:line="60"/>
      </w:pPr>
    </w:p>
    <w:tbl>
      <w:tblPr>
        <w:tblW w:type="dxa" w:w="9360"/>
        <w:tblBorders>
          <w:top w:val="single" w:color="92D050" w:sz="6"/>
          <w:left w:val="single" w:color="92D050" w:sz="6"/>
          <w:bottom w:val="single" w:color="92D050" w:sz="6"/>
          <w:right w:val="single" w:color="92D050" w:sz="6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E5FCED" w:color="auto" w:val="clear"/>
            <w:tcMar>
              <w:top w:type="dxa" w:w="105"/>
              <w:left w:type="dxa" w:w="165"/>
              <w:bottom w:type="dxa" w:w="105"/>
              <w:right w:type="dxa" w:w="165"/>
            </w:tcMar>
          </w:tcPr>
          <w:p>
            <w:pPr>
              <w:spacing w:after="55" w:before="0" w:line="264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4E8B2C"/>
                <w:sz w:val="22"/>
                <w:szCs w:val="22"/>
              </w:rPr>
              <w:t xml:space="preserve">a.  FIFO</w:t>
            </w:r>
          </w:p>
          <w:p>
            <w:pPr>
              <w:spacing w:after="55" w:before="0" w:line="264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COGS = 2,500 @ $100 + 1,750 @ $150 =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21"/>
                <w:szCs w:val="21"/>
              </w:rPr>
              <w:t xml:space="preserve">$512,500</w:t>
            </w:r>
          </w:p>
          <w:p>
            <w:pPr>
              <w:spacing w:after="0" w:before="0" w:line="264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Ending inventory = $1,000,000 − $512,500 =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21"/>
                <w:szCs w:val="21"/>
              </w:rPr>
              <w:t xml:space="preserve">$487,500</w:t>
            </w:r>
          </w:p>
        </w:tc>
      </w:tr>
    </w:tbl>
    <w:p>
      <w:pPr>
        <w:spacing w:after="150" w:line="60"/>
      </w:pPr>
    </w:p>
    <w:tbl>
      <w:tblPr>
        <w:tblW w:type="dxa" w:w="9360"/>
        <w:tblBorders>
          <w:top w:val="single" w:color="92D050" w:sz="6"/>
          <w:left w:val="single" w:color="92D050" w:sz="6"/>
          <w:bottom w:val="single" w:color="92D050" w:sz="6"/>
          <w:right w:val="single" w:color="92D050" w:sz="6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E5FCED" w:color="auto" w:val="clear"/>
            <w:tcMar>
              <w:top w:type="dxa" w:w="105"/>
              <w:left w:type="dxa" w:w="165"/>
              <w:bottom w:type="dxa" w:w="105"/>
              <w:right w:type="dxa" w:w="165"/>
            </w:tcMar>
          </w:tcPr>
          <w:p>
            <w:pPr>
              <w:spacing w:after="55" w:before="0" w:line="264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4E8B2C"/>
                <w:sz w:val="22"/>
                <w:szCs w:val="22"/>
              </w:rPr>
              <w:t xml:space="preserve">b.  LIFO</w:t>
            </w:r>
          </w:p>
          <w:p>
            <w:pPr>
              <w:spacing w:after="55" w:before="0" w:line="264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COGS = 4,250 @ $150 =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21"/>
                <w:szCs w:val="21"/>
              </w:rPr>
              <w:t xml:space="preserve">$637,500</w:t>
            </w:r>
          </w:p>
          <w:p>
            <w:pPr>
              <w:spacing w:after="0" w:before="0" w:line="264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Ending inventory = $1,000,000 − $637,500 =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21"/>
                <w:szCs w:val="21"/>
              </w:rPr>
              <w:t xml:space="preserve">$362,500</w:t>
            </w:r>
          </w:p>
        </w:tc>
      </w:tr>
    </w:tbl>
    <w:p>
      <w:pPr>
        <w:spacing w:after="150" w:line="60"/>
      </w:pPr>
    </w:p>
    <w:tbl>
      <w:tblPr>
        <w:tblW w:type="dxa" w:w="9360"/>
        <w:tblBorders>
          <w:top w:val="single" w:color="92D050" w:sz="6"/>
          <w:left w:val="single" w:color="92D050" w:sz="6"/>
          <w:bottom w:val="single" w:color="92D050" w:sz="6"/>
          <w:right w:val="single" w:color="92D050" w:sz="6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E5FCED" w:color="auto" w:val="clear"/>
            <w:tcMar>
              <w:top w:type="dxa" w:w="105"/>
              <w:left w:type="dxa" w:w="165"/>
              <w:bottom w:type="dxa" w:w="105"/>
              <w:right w:type="dxa" w:w="165"/>
            </w:tcMar>
          </w:tcPr>
          <w:p>
            <w:pPr>
              <w:spacing w:after="55" w:before="0" w:line="264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4E8B2C"/>
                <w:sz w:val="22"/>
                <w:szCs w:val="22"/>
              </w:rPr>
              <w:t xml:space="preserve">c.  Average cost</w:t>
            </w:r>
          </w:p>
          <w:p>
            <w:pPr>
              <w:spacing w:after="55" w:before="0" w:line="264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Average unit cost = $1,000,000 / 7,500 = $133.33</w:t>
            </w:r>
          </w:p>
          <w:p>
            <w:pPr>
              <w:spacing w:after="55" w:before="0" w:line="264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COGS = 4,250 @ $133.33 =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21"/>
                <w:szCs w:val="21"/>
              </w:rPr>
              <w:t xml:space="preserve">$566,667</w:t>
            </w:r>
          </w:p>
          <w:p>
            <w:pPr>
              <w:spacing w:after="0" w:before="0" w:line="264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Ending inventory = $1,000,000 − $566,667 =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21"/>
                <w:szCs w:val="21"/>
              </w:rPr>
              <w:t xml:space="preserve">$433,333</w:t>
            </w:r>
          </w:p>
        </w:tc>
      </w:tr>
    </w:tbl>
    <w:p>
      <w:pPr>
        <w:spacing w:after="150" w:line="60"/>
      </w:pPr>
    </w:p>
    <w:p>
      <w:pPr>
        <w:keepNext/>
        <w:spacing w:after="60" w:line="250"/>
      </w:pPr>
      <w:r>
        <w:rPr>
          <w:rFonts w:ascii="Arial" w:cs="Arial" w:eastAsia="Malgun Gothic" w:hAnsi="Arial"/>
          <w:b/>
          <w:bCs/>
          <w:i w:val="false"/>
          <w:iCs w:val="false"/>
          <w:color w:val="1F4899"/>
          <w:sz w:val="20"/>
          <w:szCs w:val="20"/>
        </w:rPr>
        <w:t xml:space="preserve">Summary comparison</w:t>
      </w:r>
    </w:p>
    <w:tbl>
      <w:tblPr>
        <w:tblW w:type="dxa" w:w="9360"/>
        <w:tblBorders>
          <w:top w:val="single" w:color="1F4899" w:sz="8"/>
          <w:left w:val="single" w:color="1F4899" w:sz="8"/>
          <w:bottom w:val="single" w:color="1F4899" w:sz="8"/>
          <w:right w:val="single" w:color="1F4899" w:sz="8"/>
          <w:insideH w:val="single" w:color="D5DEEC" w:sz="4"/>
          <w:insideV w:val="single" w:color="D5DEEC" w:sz="4"/>
        </w:tblBorders>
        <w:tblLayout w:type="fixed"/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type="dxa" w:w="3600"/>
            <w:shd w:fill="1F4899" w:color="auto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80"/>
            <w:shd w:fill="1F4899" w:color="auto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COGS ($)</w:t>
            </w:r>
          </w:p>
        </w:tc>
        <w:tc>
          <w:tcPr>
            <w:tcW w:type="dxa" w:w="2880"/>
            <w:shd w:fill="1F4899" w:color="auto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Ending Inventory ($)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FIFO</w:t>
            </w:r>
          </w:p>
        </w:tc>
        <w:tc>
          <w:tcPr>
            <w:tcW w:type="dxa" w:w="2880"/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512,500</w:t>
            </w:r>
          </w:p>
        </w:tc>
        <w:tc>
          <w:tcPr>
            <w:tcW w:type="dxa" w:w="2880"/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487,500</w:t>
            </w:r>
          </w:p>
        </w:tc>
      </w:tr>
      <w:tr>
        <w:tc>
          <w:tcPr>
            <w:tcW w:type="dxa" w:w="3600"/>
            <w:shd w:fill="F7F9F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LIFO</w:t>
            </w:r>
          </w:p>
        </w:tc>
        <w:tc>
          <w:tcPr>
            <w:tcW w:type="dxa" w:w="2880"/>
            <w:shd w:fill="F7F9F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637,500</w:t>
            </w:r>
          </w:p>
        </w:tc>
        <w:tc>
          <w:tcPr>
            <w:tcW w:type="dxa" w:w="2880"/>
            <w:shd w:fill="F7F9F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362,500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Average cost</w:t>
            </w:r>
          </w:p>
        </w:tc>
        <w:tc>
          <w:tcPr>
            <w:tcW w:type="dxa" w:w="2880"/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566,667</w:t>
            </w:r>
          </w:p>
        </w:tc>
        <w:tc>
          <w:tcPr>
            <w:tcW w:type="dxa" w:w="2880"/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433,333</w:t>
            </w:r>
          </w:p>
        </w:tc>
      </w:tr>
    </w:tbl>
    <w:p>
      <w:pPr>
        <w:spacing w:after="160" w:line="60"/>
      </w:pPr>
    </w:p>
    <w:tbl>
      <w:tblPr>
        <w:tblW w:type="dxa" w:w="9360"/>
        <w:tblBorders>
          <w:top w:val="single" w:color="C9C9C4" w:sz="6"/>
          <w:left w:val="single" w:color="C9C9C4" w:sz="6"/>
          <w:bottom w:val="single" w:color="C9C9C4" w:sz="6"/>
          <w:right w:val="single" w:color="C9C9C4" w:sz="6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F5F5F3" w:color="auto" w:val="clear"/>
            <w:tcMar>
              <w:top w:type="dxa" w:w="105"/>
              <w:left w:type="dxa" w:w="165"/>
              <w:bottom w:type="dxa" w:w="105"/>
              <w:right w:type="dxa" w:w="165"/>
            </w:tcMar>
          </w:tcPr>
          <w:p>
            <w:pPr>
              <w:spacing w:after="55" w:before="0" w:line="264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5A5A55"/>
                <w:sz w:val="22"/>
                <w:szCs w:val="22"/>
              </w:rPr>
              <w:t xml:space="preserve">Teaching note</w:t>
            </w:r>
          </w:p>
          <w:p>
            <w:pPr>
              <w:spacing w:after="0" w:before="0" w:line="264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With rising costs, LIFO gives the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21"/>
                <w:szCs w:val="21"/>
              </w:rPr>
              <w:t xml:space="preserve">highest COGS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 and therefore the lowest reported income and lowest taxes — the tax benefit described in Q7-5. FIFO gives the lowest COGS and the highest ending inventory, so the balance sheet carries more current values.</w:t>
            </w:r>
          </w:p>
        </w:tc>
      </w:tr>
    </w:tbl>
    <w:p>
      <w:pPr>
        <w:spacing w:after="150" w:line="60"/>
      </w:pP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Arial" w:cs="Arial" w:eastAsia="Malgun Gothic" w:hAnsi="Arial"/>
        <w:b w:val="false"/>
        <w:bCs w:val="false"/>
        <w:i w:val="false"/>
        <w:iCs w:val="false"/>
        <w:color w:val="767676"/>
        <w:sz w:val="15"/>
        <w:szCs w:val="15"/>
      </w:rPr>
      <w:t xml:space="preserve">Chapter 7  ·  Reporting and Analyzing Inventory          </w:t>
    </w:r>
    <w:r>
      <w:rPr>
        <w:rFonts w:ascii="Arial" w:cs="Arial" w:eastAsia="Malgun Gothic" w:hAnsi="Arial"/>
        <w:color w:val="767676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removePersonalInformation/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algun Gothic" w:hAnsi="Arial"/>
        <w:color w:val="1D1D1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2026-08-04T01:51:00.728Z</dcterms:created>
  <dcterms:modified xsi:type="dcterms:W3CDTF">2026-08-04T01:51:00.728Z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