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96003" w14:textId="77777777" w:rsidR="00321CAA" w:rsidRDefault="00321CAA" w:rsidP="00321CAA">
      <w:pPr>
        <w:jc w:val="both"/>
      </w:pPr>
      <w:r>
        <w:t xml:space="preserve">In pileup format, each line represents one nucleotide of the reference sequence, so for the mouse genome, a whole-genome pileup file will be over 2.7 billion lines.  This is too much data to deal with for a problem set, so we’ve given you a subset of chromosome 7 that has less than 5 </w:t>
      </w:r>
      <w:r w:rsidR="0088762F">
        <w:t>thousand</w:t>
      </w:r>
      <w:r>
        <w:t xml:space="preserve"> lines. The format of the pileup file is tab-delimited, with the following fields:</w:t>
      </w:r>
    </w:p>
    <w:p w14:paraId="7D451998" w14:textId="77777777" w:rsidR="00321CAA" w:rsidRDefault="00321CAA" w:rsidP="00321CAA">
      <w:pPr>
        <w:jc w:val="both"/>
      </w:pPr>
    </w:p>
    <w:p w14:paraId="5EF3D97F" w14:textId="77777777" w:rsidR="00321CAA" w:rsidRDefault="00321CAA" w:rsidP="00321CAA">
      <w:pPr>
        <w:jc w:val="both"/>
      </w:pPr>
      <w:r>
        <w:t>1 - Reference chromosome</w:t>
      </w:r>
    </w:p>
    <w:p w14:paraId="4BEBD1F3" w14:textId="77777777" w:rsidR="00321CAA" w:rsidRDefault="00321CAA" w:rsidP="00321CAA">
      <w:pPr>
        <w:jc w:val="both"/>
      </w:pPr>
      <w:r>
        <w:t>2 - Reference position (1-indexed)</w:t>
      </w:r>
    </w:p>
    <w:p w14:paraId="30E237F0" w14:textId="77777777" w:rsidR="00321CAA" w:rsidRDefault="00321CAA" w:rsidP="00321CAA">
      <w:pPr>
        <w:jc w:val="both"/>
      </w:pPr>
      <w:r>
        <w:t>3 - Reference base (“forward” strand)</w:t>
      </w:r>
    </w:p>
    <w:p w14:paraId="7188B1CD" w14:textId="77777777" w:rsidR="00321CAA" w:rsidRDefault="00321CAA" w:rsidP="00321CAA">
      <w:pPr>
        <w:jc w:val="both"/>
      </w:pPr>
      <w:r>
        <w:t>4 - Sequence coverage</w:t>
      </w:r>
    </w:p>
    <w:p w14:paraId="2419E77B" w14:textId="77777777" w:rsidR="00321CAA" w:rsidRDefault="00321CAA" w:rsidP="00321CAA">
      <w:pPr>
        <w:jc w:val="both"/>
      </w:pPr>
      <w:r>
        <w:t>5 - Sequence pile</w:t>
      </w:r>
    </w:p>
    <w:p w14:paraId="10D223A4" w14:textId="77777777" w:rsidR="00321CAA" w:rsidRDefault="00321CAA" w:rsidP="00321CAA">
      <w:pPr>
        <w:jc w:val="both"/>
      </w:pPr>
      <w:r>
        <w:t>6 - Sequence base qualities</w:t>
      </w:r>
    </w:p>
    <w:p w14:paraId="68AE08C4" w14:textId="77777777" w:rsidR="00321CAA" w:rsidRDefault="00321CAA" w:rsidP="00321CAA">
      <w:pPr>
        <w:jc w:val="both"/>
      </w:pPr>
    </w:p>
    <w:p w14:paraId="77933E43" w14:textId="77777777" w:rsidR="00321CAA" w:rsidRDefault="00321CAA" w:rsidP="00321CAA">
      <w:pPr>
        <w:jc w:val="both"/>
      </w:pPr>
      <w:r>
        <w:t>The 5th field, for which this format is named, has a single character for every read that mapped to the reference genome at this position.  Additionally, the pile shows whether a base is the first or last base in a read, as well as whether insertions/deletions (</w:t>
      </w:r>
      <w:proofErr w:type="spellStart"/>
      <w:r>
        <w:t>indels</w:t>
      </w:r>
      <w:proofErr w:type="spellEnd"/>
      <w:r>
        <w:t>) span the reference base.  Here is an example line from a pileup file, with tab-delimiters explicitly shown and bolded:</w:t>
      </w:r>
    </w:p>
    <w:p w14:paraId="66C8823B" w14:textId="77777777" w:rsidR="00321CAA" w:rsidRDefault="00321CAA" w:rsidP="00321CAA">
      <w:pPr>
        <w:jc w:val="both"/>
      </w:pPr>
    </w:p>
    <w:p w14:paraId="3538EEDF" w14:textId="77777777" w:rsidR="00321CAA" w:rsidRDefault="00321CAA" w:rsidP="00321CAA">
      <w:pPr>
        <w:jc w:val="both"/>
        <w:rPr>
          <w:rFonts w:ascii="Courier New" w:hAnsi="Courier New"/>
          <w:sz w:val="20"/>
          <w:szCs w:val="20"/>
        </w:rPr>
      </w:pPr>
      <w:proofErr w:type="gramStart"/>
      <w:r>
        <w:rPr>
          <w:rFonts w:ascii="Courier New" w:hAnsi="Courier New"/>
          <w:sz w:val="20"/>
          <w:szCs w:val="20"/>
        </w:rPr>
        <w:t>chr1</w:t>
      </w:r>
      <w:proofErr w:type="gramEnd"/>
      <w:r>
        <w:rPr>
          <w:rFonts w:ascii="Courier New" w:hAnsi="Courier New"/>
          <w:b/>
          <w:sz w:val="20"/>
          <w:szCs w:val="20"/>
        </w:rPr>
        <w:t>&lt;tab&gt;</w:t>
      </w:r>
      <w:r>
        <w:rPr>
          <w:rFonts w:ascii="Courier New" w:hAnsi="Courier New"/>
          <w:sz w:val="20"/>
          <w:szCs w:val="20"/>
        </w:rPr>
        <w:t>50</w:t>
      </w:r>
      <w:r>
        <w:rPr>
          <w:rFonts w:ascii="Courier New" w:hAnsi="Courier New"/>
          <w:b/>
          <w:sz w:val="20"/>
          <w:szCs w:val="20"/>
        </w:rPr>
        <w:t>&lt;tab&gt;</w:t>
      </w:r>
      <w:r>
        <w:rPr>
          <w:rFonts w:ascii="Courier New" w:hAnsi="Courier New"/>
          <w:sz w:val="20"/>
          <w:szCs w:val="20"/>
        </w:rPr>
        <w:t>C</w:t>
      </w:r>
      <w:r>
        <w:rPr>
          <w:rFonts w:ascii="Courier New" w:hAnsi="Courier New"/>
          <w:b/>
          <w:sz w:val="20"/>
          <w:szCs w:val="20"/>
        </w:rPr>
        <w:t>&lt;tab&gt;</w:t>
      </w:r>
      <w:r>
        <w:rPr>
          <w:rFonts w:ascii="Courier New" w:hAnsi="Courier New"/>
          <w:sz w:val="20"/>
          <w:szCs w:val="20"/>
        </w:rPr>
        <w:t>34</w:t>
      </w:r>
      <w:r>
        <w:rPr>
          <w:rFonts w:ascii="Courier New" w:hAnsi="Courier New"/>
          <w:b/>
          <w:sz w:val="20"/>
          <w:szCs w:val="20"/>
        </w:rPr>
        <w:t>&lt;tab&gt;</w:t>
      </w:r>
      <w:r>
        <w:rPr>
          <w:rFonts w:ascii="Courier New" w:hAnsi="Courier New"/>
          <w:sz w:val="20"/>
          <w:szCs w:val="20"/>
        </w:rPr>
        <w:t>.$.$.$.$T,..A...</w:t>
      </w:r>
      <w:proofErr w:type="gramStart"/>
      <w:r>
        <w:rPr>
          <w:rFonts w:ascii="Courier New" w:hAnsi="Courier New"/>
          <w:sz w:val="20"/>
          <w:szCs w:val="20"/>
        </w:rPr>
        <w:t>,,,....</w:t>
      </w:r>
      <w:proofErr w:type="gramEnd"/>
      <w:r>
        <w:rPr>
          <w:rFonts w:ascii="Courier New" w:hAnsi="Courier New"/>
          <w:sz w:val="20"/>
          <w:szCs w:val="20"/>
        </w:rPr>
        <w:t>+4AGGC.........,</w:t>
      </w:r>
      <w:proofErr w:type="spellStart"/>
      <w:r>
        <w:rPr>
          <w:rFonts w:ascii="Courier New" w:hAnsi="Courier New"/>
          <w:sz w:val="20"/>
          <w:szCs w:val="20"/>
        </w:rPr>
        <w:t>a,^F</w:t>
      </w:r>
      <w:proofErr w:type="spellEnd"/>
      <w:r>
        <w:rPr>
          <w:rFonts w:ascii="Courier New" w:hAnsi="Courier New"/>
          <w:sz w:val="20"/>
          <w:szCs w:val="20"/>
        </w:rPr>
        <w:t>,^].^F,</w:t>
      </w:r>
      <w:r>
        <w:rPr>
          <w:rFonts w:ascii="Courier New" w:hAnsi="Courier New"/>
          <w:b/>
          <w:sz w:val="20"/>
          <w:szCs w:val="20"/>
        </w:rPr>
        <w:t>&lt;tab&gt;</w:t>
      </w:r>
      <w:r>
        <w:rPr>
          <w:rFonts w:ascii="Courier New" w:hAnsi="Courier New"/>
          <w:sz w:val="20"/>
          <w:szCs w:val="20"/>
        </w:rPr>
        <w:t>[[`</w:t>
      </w:r>
      <w:proofErr w:type="spellStart"/>
      <w:r>
        <w:rPr>
          <w:rFonts w:ascii="Courier New" w:hAnsi="Courier New"/>
          <w:sz w:val="20"/>
          <w:szCs w:val="20"/>
        </w:rPr>
        <w:t>p!S</w:t>
      </w:r>
      <w:proofErr w:type="spellEnd"/>
      <w:r>
        <w:rPr>
          <w:rFonts w:ascii="Courier New" w:hAnsi="Courier New"/>
          <w:sz w:val="20"/>
          <w:szCs w:val="20"/>
        </w:rPr>
        <w:t>__^\\\a`ZU`X\B_Va^___`^[_a\W</w:t>
      </w:r>
    </w:p>
    <w:p w14:paraId="6430A7E4" w14:textId="77777777" w:rsidR="00321CAA" w:rsidRDefault="00321CAA" w:rsidP="00321CAA">
      <w:pPr>
        <w:jc w:val="both"/>
      </w:pPr>
    </w:p>
    <w:p w14:paraId="39A5CF96" w14:textId="5B1C123A" w:rsidR="00321CAA" w:rsidRDefault="00321CAA" w:rsidP="00321CAA">
      <w:pPr>
        <w:jc w:val="both"/>
      </w:pPr>
      <w:r>
        <w:t>Below is a table showing the valid cha</w:t>
      </w:r>
      <w:r w:rsidR="00F71DF1">
        <w:t xml:space="preserve">racters in a pile, as well </w:t>
      </w:r>
      <w:r>
        <w:t xml:space="preserve">regular expressions one could use to extract the given characters from the pile. For </w:t>
      </w:r>
      <w:proofErr w:type="spellStart"/>
      <w:r>
        <w:t>indels</w:t>
      </w:r>
      <w:proofErr w:type="spellEnd"/>
      <w:r>
        <w:t xml:space="preserve">, the below lengths are just examples. </w:t>
      </w:r>
      <w:proofErr w:type="spellStart"/>
      <w:r>
        <w:t>Indels</w:t>
      </w:r>
      <w:proofErr w:type="spellEnd"/>
      <w:r>
        <w:t xml:space="preserve"> can be of any length.</w:t>
      </w:r>
    </w:p>
    <w:p w14:paraId="29198DB4" w14:textId="77777777" w:rsidR="00321CAA" w:rsidRDefault="00321CAA" w:rsidP="00321CAA">
      <w:pPr>
        <w:jc w:val="both"/>
      </w:pPr>
    </w:p>
    <w:tbl>
      <w:tblPr>
        <w:tblW w:w="0" w:type="auto"/>
        <w:tblInd w:w="1" w:type="dxa"/>
        <w:tblLayout w:type="fixed"/>
        <w:tblCellMar>
          <w:left w:w="0" w:type="dxa"/>
          <w:right w:w="0" w:type="dxa"/>
        </w:tblCellMar>
        <w:tblLook w:val="0000" w:firstRow="0" w:lastRow="0" w:firstColumn="0" w:lastColumn="0" w:noHBand="0" w:noVBand="0"/>
      </w:tblPr>
      <w:tblGrid>
        <w:gridCol w:w="1440"/>
        <w:gridCol w:w="5490"/>
        <w:gridCol w:w="3099"/>
        <w:gridCol w:w="7223"/>
      </w:tblGrid>
      <w:tr w:rsidR="00321CAA" w14:paraId="441AE1BE" w14:textId="77777777" w:rsidTr="00321CAA">
        <w:tc>
          <w:tcPr>
            <w:tcW w:w="1440" w:type="dxa"/>
            <w:tcBorders>
              <w:top w:val="single" w:sz="1" w:space="0" w:color="000000"/>
              <w:left w:val="single" w:sz="1" w:space="0" w:color="000000"/>
              <w:bottom w:val="single" w:sz="1" w:space="0" w:color="000000"/>
            </w:tcBorders>
            <w:shd w:val="clear" w:color="auto" w:fill="auto"/>
          </w:tcPr>
          <w:p w14:paraId="545DEE8F" w14:textId="77777777" w:rsidR="00321CAA" w:rsidRDefault="00321CAA" w:rsidP="00321CAA">
            <w:pPr>
              <w:pStyle w:val="TableContents"/>
              <w:snapToGrid w:val="0"/>
              <w:jc w:val="center"/>
              <w:rPr>
                <w:b/>
                <w:bCs/>
              </w:rPr>
            </w:pPr>
            <w:r>
              <w:rPr>
                <w:b/>
                <w:bCs/>
              </w:rPr>
              <w:t>Character(s)</w:t>
            </w:r>
          </w:p>
        </w:tc>
        <w:tc>
          <w:tcPr>
            <w:tcW w:w="5490" w:type="dxa"/>
            <w:tcBorders>
              <w:top w:val="single" w:sz="1" w:space="0" w:color="000000"/>
              <w:left w:val="single" w:sz="1" w:space="0" w:color="000000"/>
              <w:bottom w:val="single" w:sz="1" w:space="0" w:color="000000"/>
            </w:tcBorders>
            <w:shd w:val="clear" w:color="auto" w:fill="auto"/>
          </w:tcPr>
          <w:p w14:paraId="3295B852" w14:textId="77777777" w:rsidR="00321CAA" w:rsidRDefault="00321CAA" w:rsidP="00321CAA">
            <w:pPr>
              <w:pStyle w:val="TableContents"/>
              <w:snapToGrid w:val="0"/>
              <w:jc w:val="center"/>
              <w:rPr>
                <w:b/>
                <w:bCs/>
              </w:rPr>
            </w:pPr>
            <w:r>
              <w:rPr>
                <w:b/>
                <w:bCs/>
              </w:rPr>
              <w:t>Meaning</w:t>
            </w:r>
          </w:p>
        </w:tc>
        <w:tc>
          <w:tcPr>
            <w:tcW w:w="3099" w:type="dxa"/>
            <w:tcBorders>
              <w:top w:val="single" w:sz="1" w:space="0" w:color="000000"/>
              <w:left w:val="single" w:sz="1" w:space="0" w:color="000000"/>
              <w:bottom w:val="single" w:sz="1" w:space="0" w:color="000000"/>
            </w:tcBorders>
            <w:shd w:val="clear" w:color="auto" w:fill="auto"/>
          </w:tcPr>
          <w:p w14:paraId="34CCE97F" w14:textId="7ED47CAF" w:rsidR="00321CAA" w:rsidRDefault="00321CAA" w:rsidP="00733CFE">
            <w:pPr>
              <w:pStyle w:val="TableContents"/>
              <w:snapToGrid w:val="0"/>
              <w:jc w:val="center"/>
              <w:rPr>
                <w:b/>
                <w:bCs/>
              </w:rPr>
            </w:pPr>
            <w:r>
              <w:rPr>
                <w:b/>
                <w:bCs/>
              </w:rPr>
              <w:t>Suggested Regular Expression</w:t>
            </w:r>
          </w:p>
        </w:tc>
        <w:tc>
          <w:tcPr>
            <w:tcW w:w="7223" w:type="dxa"/>
            <w:tcBorders>
              <w:left w:val="single" w:sz="1" w:space="0" w:color="000000"/>
            </w:tcBorders>
            <w:shd w:val="clear" w:color="auto" w:fill="auto"/>
          </w:tcPr>
          <w:p w14:paraId="34268075" w14:textId="77777777" w:rsidR="00321CAA" w:rsidRDefault="00321CAA" w:rsidP="00321CAA">
            <w:pPr>
              <w:snapToGrid w:val="0"/>
              <w:jc w:val="both"/>
              <w:rPr>
                <w:b/>
                <w:bCs/>
              </w:rPr>
            </w:pPr>
          </w:p>
        </w:tc>
      </w:tr>
      <w:tr w:rsidR="00321CAA" w14:paraId="1516093A" w14:textId="77777777" w:rsidTr="00321CAA">
        <w:tc>
          <w:tcPr>
            <w:tcW w:w="1440" w:type="dxa"/>
            <w:tcBorders>
              <w:left w:val="single" w:sz="1" w:space="0" w:color="000000"/>
              <w:bottom w:val="single" w:sz="1" w:space="0" w:color="000000"/>
            </w:tcBorders>
            <w:shd w:val="clear" w:color="auto" w:fill="auto"/>
          </w:tcPr>
          <w:p w14:paraId="56531CAD" w14:textId="77777777" w:rsidR="00321CAA" w:rsidRDefault="00321CAA" w:rsidP="00321CAA">
            <w:pPr>
              <w:pStyle w:val="TableContents"/>
              <w:snapToGrid w:val="0"/>
              <w:jc w:val="center"/>
              <w:rPr>
                <w:rFonts w:ascii="Courier New" w:hAnsi="Courier New"/>
                <w:sz w:val="20"/>
                <w:szCs w:val="20"/>
              </w:rPr>
            </w:pPr>
            <w:r>
              <w:rPr>
                <w:rFonts w:ascii="Courier New" w:hAnsi="Courier New"/>
                <w:sz w:val="20"/>
                <w:szCs w:val="20"/>
              </w:rPr>
              <w:t>.</w:t>
            </w:r>
          </w:p>
        </w:tc>
        <w:tc>
          <w:tcPr>
            <w:tcW w:w="5490" w:type="dxa"/>
            <w:tcBorders>
              <w:left w:val="single" w:sz="1" w:space="0" w:color="000000"/>
              <w:bottom w:val="single" w:sz="1" w:space="0" w:color="000000"/>
            </w:tcBorders>
            <w:shd w:val="clear" w:color="auto" w:fill="auto"/>
          </w:tcPr>
          <w:p w14:paraId="4D7FECD7" w14:textId="77777777" w:rsidR="00321CAA" w:rsidRDefault="00321CAA" w:rsidP="00321CAA">
            <w:pPr>
              <w:pStyle w:val="TableContents"/>
              <w:snapToGrid w:val="0"/>
              <w:jc w:val="center"/>
            </w:pPr>
            <w:r>
              <w:t>Match to reference base on forward strand</w:t>
            </w:r>
          </w:p>
        </w:tc>
        <w:tc>
          <w:tcPr>
            <w:tcW w:w="3099" w:type="dxa"/>
            <w:tcBorders>
              <w:left w:val="single" w:sz="1" w:space="0" w:color="000000"/>
              <w:bottom w:val="single" w:sz="1" w:space="0" w:color="000000"/>
            </w:tcBorders>
            <w:shd w:val="clear" w:color="auto" w:fill="auto"/>
          </w:tcPr>
          <w:p w14:paraId="3FADE5B2" w14:textId="77777777" w:rsidR="00321CAA" w:rsidRDefault="00321CAA" w:rsidP="00321CAA">
            <w:pPr>
              <w:pStyle w:val="TableContents"/>
              <w:snapToGrid w:val="0"/>
              <w:jc w:val="center"/>
              <w:rPr>
                <w:rFonts w:ascii="Courier New" w:hAnsi="Courier New"/>
                <w:sz w:val="20"/>
                <w:szCs w:val="20"/>
              </w:rPr>
            </w:pPr>
            <w:r>
              <w:rPr>
                <w:rFonts w:ascii="Courier New" w:hAnsi="Courier New"/>
                <w:sz w:val="20"/>
                <w:szCs w:val="20"/>
              </w:rPr>
              <w:t>/\</w:t>
            </w:r>
            <w:proofErr w:type="gramStart"/>
            <w:r>
              <w:rPr>
                <w:rFonts w:ascii="Courier New" w:hAnsi="Courier New"/>
                <w:sz w:val="20"/>
                <w:szCs w:val="20"/>
              </w:rPr>
              <w:t>./</w:t>
            </w:r>
            <w:proofErr w:type="gramEnd"/>
          </w:p>
        </w:tc>
        <w:tc>
          <w:tcPr>
            <w:tcW w:w="7223" w:type="dxa"/>
            <w:tcBorders>
              <w:left w:val="single" w:sz="1" w:space="0" w:color="000000"/>
            </w:tcBorders>
            <w:shd w:val="clear" w:color="auto" w:fill="auto"/>
          </w:tcPr>
          <w:p w14:paraId="0D51C598" w14:textId="77777777" w:rsidR="00321CAA" w:rsidRDefault="00321CAA" w:rsidP="00321CAA">
            <w:pPr>
              <w:snapToGrid w:val="0"/>
              <w:jc w:val="both"/>
              <w:rPr>
                <w:b/>
                <w:bCs/>
              </w:rPr>
            </w:pPr>
          </w:p>
        </w:tc>
      </w:tr>
      <w:tr w:rsidR="00321CAA" w14:paraId="6328E0E1" w14:textId="77777777" w:rsidTr="00321CAA">
        <w:tc>
          <w:tcPr>
            <w:tcW w:w="1440" w:type="dxa"/>
            <w:tcBorders>
              <w:left w:val="single" w:sz="1" w:space="0" w:color="000000"/>
              <w:bottom w:val="single" w:sz="1" w:space="0" w:color="000000"/>
            </w:tcBorders>
            <w:shd w:val="clear" w:color="auto" w:fill="auto"/>
          </w:tcPr>
          <w:p w14:paraId="096CA19B" w14:textId="77777777" w:rsidR="00321CAA" w:rsidRDefault="00321CAA" w:rsidP="00321CAA">
            <w:pPr>
              <w:pStyle w:val="TableContents"/>
              <w:snapToGrid w:val="0"/>
              <w:jc w:val="center"/>
              <w:rPr>
                <w:rFonts w:ascii="Courier New" w:hAnsi="Courier New"/>
                <w:sz w:val="20"/>
                <w:szCs w:val="20"/>
              </w:rPr>
            </w:pPr>
            <w:r>
              <w:rPr>
                <w:rFonts w:ascii="Courier New" w:hAnsi="Courier New"/>
                <w:sz w:val="20"/>
                <w:szCs w:val="20"/>
              </w:rPr>
              <w:t>,</w:t>
            </w:r>
          </w:p>
        </w:tc>
        <w:tc>
          <w:tcPr>
            <w:tcW w:w="5490" w:type="dxa"/>
            <w:tcBorders>
              <w:left w:val="single" w:sz="1" w:space="0" w:color="000000"/>
              <w:bottom w:val="single" w:sz="1" w:space="0" w:color="000000"/>
            </w:tcBorders>
            <w:shd w:val="clear" w:color="auto" w:fill="auto"/>
          </w:tcPr>
          <w:p w14:paraId="27807F3E" w14:textId="77777777" w:rsidR="00321CAA" w:rsidRDefault="00321CAA" w:rsidP="00321CAA">
            <w:pPr>
              <w:pStyle w:val="TableContents"/>
              <w:snapToGrid w:val="0"/>
              <w:jc w:val="center"/>
            </w:pPr>
            <w:r>
              <w:t>Match to reference base on reverse strand</w:t>
            </w:r>
          </w:p>
        </w:tc>
        <w:tc>
          <w:tcPr>
            <w:tcW w:w="3099" w:type="dxa"/>
            <w:tcBorders>
              <w:left w:val="single" w:sz="1" w:space="0" w:color="000000"/>
              <w:bottom w:val="single" w:sz="1" w:space="0" w:color="000000"/>
            </w:tcBorders>
            <w:shd w:val="clear" w:color="auto" w:fill="auto"/>
          </w:tcPr>
          <w:p w14:paraId="079E2F64" w14:textId="77777777" w:rsidR="00321CAA" w:rsidRDefault="00321CAA" w:rsidP="00321CAA">
            <w:pPr>
              <w:pStyle w:val="TableContents"/>
              <w:snapToGrid w:val="0"/>
              <w:jc w:val="center"/>
              <w:rPr>
                <w:rFonts w:ascii="Courier New" w:hAnsi="Courier New"/>
                <w:sz w:val="20"/>
                <w:szCs w:val="20"/>
              </w:rPr>
            </w:pPr>
            <w:r>
              <w:rPr>
                <w:rFonts w:ascii="Courier New" w:hAnsi="Courier New"/>
                <w:sz w:val="20"/>
                <w:szCs w:val="20"/>
              </w:rPr>
              <w:t>/</w:t>
            </w:r>
            <w:proofErr w:type="gramStart"/>
            <w:r>
              <w:rPr>
                <w:rFonts w:ascii="Courier New" w:hAnsi="Courier New"/>
                <w:sz w:val="20"/>
                <w:szCs w:val="20"/>
              </w:rPr>
              <w:t>,/</w:t>
            </w:r>
            <w:proofErr w:type="gramEnd"/>
          </w:p>
        </w:tc>
        <w:tc>
          <w:tcPr>
            <w:tcW w:w="7223" w:type="dxa"/>
            <w:tcBorders>
              <w:left w:val="single" w:sz="1" w:space="0" w:color="000000"/>
            </w:tcBorders>
            <w:shd w:val="clear" w:color="auto" w:fill="auto"/>
          </w:tcPr>
          <w:p w14:paraId="5A8CB5D7" w14:textId="77777777" w:rsidR="00321CAA" w:rsidRDefault="00321CAA" w:rsidP="00321CAA">
            <w:pPr>
              <w:snapToGrid w:val="0"/>
              <w:jc w:val="both"/>
              <w:rPr>
                <w:b/>
                <w:bCs/>
              </w:rPr>
            </w:pPr>
          </w:p>
        </w:tc>
      </w:tr>
      <w:tr w:rsidR="00321CAA" w14:paraId="11D993A5" w14:textId="77777777" w:rsidTr="00321CAA">
        <w:tc>
          <w:tcPr>
            <w:tcW w:w="1440" w:type="dxa"/>
            <w:tcBorders>
              <w:left w:val="single" w:sz="1" w:space="0" w:color="000000"/>
              <w:bottom w:val="single" w:sz="1" w:space="0" w:color="000000"/>
            </w:tcBorders>
            <w:shd w:val="clear" w:color="auto" w:fill="auto"/>
          </w:tcPr>
          <w:p w14:paraId="32480788" w14:textId="77777777" w:rsidR="00321CAA" w:rsidRDefault="00321CAA" w:rsidP="00321CAA">
            <w:pPr>
              <w:pStyle w:val="TableContents"/>
              <w:snapToGrid w:val="0"/>
              <w:jc w:val="center"/>
              <w:rPr>
                <w:rFonts w:ascii="Courier New" w:hAnsi="Courier New"/>
                <w:sz w:val="20"/>
                <w:szCs w:val="20"/>
              </w:rPr>
            </w:pPr>
            <w:r>
              <w:rPr>
                <w:rFonts w:ascii="Courier New" w:hAnsi="Courier New"/>
                <w:sz w:val="20"/>
                <w:szCs w:val="20"/>
              </w:rPr>
              <w:t>ACGT</w:t>
            </w:r>
          </w:p>
        </w:tc>
        <w:tc>
          <w:tcPr>
            <w:tcW w:w="5490" w:type="dxa"/>
            <w:tcBorders>
              <w:left w:val="single" w:sz="1" w:space="0" w:color="000000"/>
              <w:bottom w:val="single" w:sz="1" w:space="0" w:color="000000"/>
            </w:tcBorders>
            <w:shd w:val="clear" w:color="auto" w:fill="auto"/>
          </w:tcPr>
          <w:p w14:paraId="1055C68C" w14:textId="77777777" w:rsidR="00321CAA" w:rsidRDefault="00321CAA" w:rsidP="00321CAA">
            <w:pPr>
              <w:pStyle w:val="TableContents"/>
              <w:snapToGrid w:val="0"/>
              <w:jc w:val="center"/>
            </w:pPr>
            <w:r>
              <w:t>Mismatch on forward strand</w:t>
            </w:r>
          </w:p>
        </w:tc>
        <w:tc>
          <w:tcPr>
            <w:tcW w:w="3099" w:type="dxa"/>
            <w:tcBorders>
              <w:left w:val="single" w:sz="1" w:space="0" w:color="000000"/>
              <w:bottom w:val="single" w:sz="1" w:space="0" w:color="000000"/>
            </w:tcBorders>
            <w:shd w:val="clear" w:color="auto" w:fill="auto"/>
          </w:tcPr>
          <w:p w14:paraId="45AEB00B" w14:textId="77777777" w:rsidR="00321CAA" w:rsidRDefault="00321CAA" w:rsidP="00321CAA">
            <w:pPr>
              <w:pStyle w:val="TableContents"/>
              <w:snapToGrid w:val="0"/>
              <w:jc w:val="center"/>
              <w:rPr>
                <w:rFonts w:ascii="Courier New" w:hAnsi="Courier New"/>
                <w:sz w:val="20"/>
                <w:szCs w:val="20"/>
              </w:rPr>
            </w:pPr>
            <w:r>
              <w:rPr>
                <w:rFonts w:ascii="Courier New" w:hAnsi="Courier New"/>
                <w:sz w:val="20"/>
                <w:szCs w:val="20"/>
              </w:rPr>
              <w:t>/[ACGT]/</w:t>
            </w:r>
          </w:p>
        </w:tc>
        <w:tc>
          <w:tcPr>
            <w:tcW w:w="7223" w:type="dxa"/>
            <w:tcBorders>
              <w:left w:val="single" w:sz="1" w:space="0" w:color="000000"/>
            </w:tcBorders>
            <w:shd w:val="clear" w:color="auto" w:fill="auto"/>
          </w:tcPr>
          <w:p w14:paraId="59A45EE6" w14:textId="77777777" w:rsidR="00321CAA" w:rsidRDefault="00321CAA" w:rsidP="00321CAA">
            <w:pPr>
              <w:snapToGrid w:val="0"/>
              <w:jc w:val="both"/>
              <w:rPr>
                <w:b/>
                <w:bCs/>
              </w:rPr>
            </w:pPr>
          </w:p>
        </w:tc>
      </w:tr>
      <w:tr w:rsidR="00321CAA" w14:paraId="019C313E" w14:textId="77777777" w:rsidTr="00321CAA">
        <w:tc>
          <w:tcPr>
            <w:tcW w:w="1440" w:type="dxa"/>
            <w:tcBorders>
              <w:left w:val="single" w:sz="1" w:space="0" w:color="000000"/>
              <w:bottom w:val="single" w:sz="1" w:space="0" w:color="000000"/>
            </w:tcBorders>
            <w:shd w:val="clear" w:color="auto" w:fill="auto"/>
          </w:tcPr>
          <w:p w14:paraId="6301DE9B" w14:textId="77777777" w:rsidR="00321CAA" w:rsidRDefault="00321CAA" w:rsidP="00321CAA">
            <w:pPr>
              <w:pStyle w:val="TableContents"/>
              <w:snapToGrid w:val="0"/>
              <w:jc w:val="center"/>
              <w:rPr>
                <w:rFonts w:ascii="Courier New" w:hAnsi="Courier New"/>
                <w:sz w:val="20"/>
                <w:szCs w:val="20"/>
              </w:rPr>
            </w:pPr>
            <w:proofErr w:type="spellStart"/>
            <w:proofErr w:type="gramStart"/>
            <w:r>
              <w:rPr>
                <w:rFonts w:ascii="Courier New" w:hAnsi="Courier New"/>
                <w:sz w:val="20"/>
                <w:szCs w:val="20"/>
              </w:rPr>
              <w:t>acgt</w:t>
            </w:r>
            <w:proofErr w:type="spellEnd"/>
            <w:proofErr w:type="gramEnd"/>
          </w:p>
        </w:tc>
        <w:tc>
          <w:tcPr>
            <w:tcW w:w="5490" w:type="dxa"/>
            <w:tcBorders>
              <w:left w:val="single" w:sz="1" w:space="0" w:color="000000"/>
              <w:bottom w:val="single" w:sz="1" w:space="0" w:color="000000"/>
            </w:tcBorders>
            <w:shd w:val="clear" w:color="auto" w:fill="auto"/>
          </w:tcPr>
          <w:p w14:paraId="59C5CCF4" w14:textId="77777777" w:rsidR="00321CAA" w:rsidRDefault="00321CAA" w:rsidP="00321CAA">
            <w:pPr>
              <w:pStyle w:val="TableContents"/>
              <w:snapToGrid w:val="0"/>
              <w:jc w:val="center"/>
            </w:pPr>
            <w:r>
              <w:t>Mismatch on reverse strand</w:t>
            </w:r>
          </w:p>
        </w:tc>
        <w:tc>
          <w:tcPr>
            <w:tcW w:w="3099" w:type="dxa"/>
            <w:tcBorders>
              <w:left w:val="single" w:sz="1" w:space="0" w:color="000000"/>
              <w:bottom w:val="single" w:sz="1" w:space="0" w:color="000000"/>
            </w:tcBorders>
            <w:shd w:val="clear" w:color="auto" w:fill="auto"/>
          </w:tcPr>
          <w:p w14:paraId="14549505" w14:textId="77777777" w:rsidR="00321CAA" w:rsidRDefault="00321CAA" w:rsidP="00321CAA">
            <w:pPr>
              <w:pStyle w:val="TableContents"/>
              <w:snapToGrid w:val="0"/>
              <w:jc w:val="center"/>
              <w:rPr>
                <w:rFonts w:ascii="Courier New" w:hAnsi="Courier New"/>
                <w:sz w:val="20"/>
                <w:szCs w:val="20"/>
              </w:rPr>
            </w:pPr>
            <w:r>
              <w:rPr>
                <w:rFonts w:ascii="Courier New" w:hAnsi="Courier New"/>
                <w:sz w:val="20"/>
                <w:szCs w:val="20"/>
              </w:rPr>
              <w:t>/[</w:t>
            </w:r>
            <w:proofErr w:type="spellStart"/>
            <w:proofErr w:type="gramStart"/>
            <w:r>
              <w:rPr>
                <w:rFonts w:ascii="Courier New" w:hAnsi="Courier New"/>
                <w:sz w:val="20"/>
                <w:szCs w:val="20"/>
              </w:rPr>
              <w:t>acgt</w:t>
            </w:r>
            <w:proofErr w:type="spellEnd"/>
            <w:proofErr w:type="gramEnd"/>
            <w:r>
              <w:rPr>
                <w:rFonts w:ascii="Courier New" w:hAnsi="Courier New"/>
                <w:sz w:val="20"/>
                <w:szCs w:val="20"/>
              </w:rPr>
              <w:t>]/</w:t>
            </w:r>
          </w:p>
        </w:tc>
        <w:tc>
          <w:tcPr>
            <w:tcW w:w="7223" w:type="dxa"/>
            <w:tcBorders>
              <w:left w:val="single" w:sz="1" w:space="0" w:color="000000"/>
            </w:tcBorders>
            <w:shd w:val="clear" w:color="auto" w:fill="auto"/>
          </w:tcPr>
          <w:p w14:paraId="0BE59545" w14:textId="77777777" w:rsidR="00321CAA" w:rsidRDefault="00321CAA" w:rsidP="00321CAA">
            <w:pPr>
              <w:snapToGrid w:val="0"/>
              <w:jc w:val="both"/>
              <w:rPr>
                <w:b/>
                <w:bCs/>
              </w:rPr>
            </w:pPr>
          </w:p>
        </w:tc>
      </w:tr>
      <w:tr w:rsidR="00321CAA" w14:paraId="54D57ED9" w14:textId="77777777" w:rsidTr="00321CAA">
        <w:tc>
          <w:tcPr>
            <w:tcW w:w="1440" w:type="dxa"/>
            <w:tcBorders>
              <w:left w:val="single" w:sz="1" w:space="0" w:color="000000"/>
              <w:bottom w:val="single" w:sz="1" w:space="0" w:color="000000"/>
            </w:tcBorders>
            <w:shd w:val="clear" w:color="auto" w:fill="auto"/>
          </w:tcPr>
          <w:p w14:paraId="6019BB56" w14:textId="77777777" w:rsidR="00321CAA" w:rsidRDefault="00321CAA" w:rsidP="00321CAA">
            <w:pPr>
              <w:snapToGrid w:val="0"/>
              <w:jc w:val="center"/>
              <w:rPr>
                <w:rFonts w:ascii="Courier New" w:hAnsi="Courier New"/>
                <w:sz w:val="20"/>
                <w:szCs w:val="20"/>
              </w:rPr>
            </w:pPr>
            <w:r>
              <w:rPr>
                <w:rFonts w:ascii="Courier New" w:hAnsi="Courier New"/>
                <w:sz w:val="20"/>
                <w:szCs w:val="20"/>
              </w:rPr>
              <w:t>^</w:t>
            </w:r>
            <w:proofErr w:type="gramStart"/>
            <w:r>
              <w:rPr>
                <w:rFonts w:ascii="Courier New" w:hAnsi="Courier New"/>
                <w:sz w:val="20"/>
                <w:szCs w:val="20"/>
              </w:rPr>
              <w:t>x</w:t>
            </w:r>
            <w:proofErr w:type="gramEnd"/>
          </w:p>
        </w:tc>
        <w:tc>
          <w:tcPr>
            <w:tcW w:w="5490" w:type="dxa"/>
            <w:tcBorders>
              <w:left w:val="single" w:sz="1" w:space="0" w:color="000000"/>
              <w:bottom w:val="single" w:sz="1" w:space="0" w:color="000000"/>
            </w:tcBorders>
            <w:shd w:val="clear" w:color="auto" w:fill="auto"/>
          </w:tcPr>
          <w:p w14:paraId="5634CBB3" w14:textId="77777777" w:rsidR="00321CAA" w:rsidRDefault="00321CAA" w:rsidP="00321CAA">
            <w:pPr>
              <w:pStyle w:val="TableContents"/>
              <w:snapToGrid w:val="0"/>
              <w:jc w:val="center"/>
            </w:pPr>
            <w:r>
              <w:t>Start of a read, where x is the mapping quality as ASCII character - 33(see below); precedes the character that indicates the nucleotide at that position from the read</w:t>
            </w:r>
          </w:p>
        </w:tc>
        <w:tc>
          <w:tcPr>
            <w:tcW w:w="3099" w:type="dxa"/>
            <w:tcBorders>
              <w:left w:val="single" w:sz="1" w:space="0" w:color="000000"/>
              <w:bottom w:val="single" w:sz="1" w:space="0" w:color="000000"/>
            </w:tcBorders>
            <w:shd w:val="clear" w:color="auto" w:fill="auto"/>
          </w:tcPr>
          <w:p w14:paraId="42778830" w14:textId="77777777" w:rsidR="00321CAA" w:rsidRDefault="00321CAA" w:rsidP="00321CAA">
            <w:pPr>
              <w:pStyle w:val="TableContents"/>
              <w:snapToGrid w:val="0"/>
              <w:jc w:val="center"/>
              <w:rPr>
                <w:rFonts w:ascii="Courier New" w:hAnsi="Courier New"/>
                <w:sz w:val="20"/>
                <w:szCs w:val="20"/>
              </w:rPr>
            </w:pPr>
            <w:r>
              <w:rPr>
                <w:rFonts w:ascii="Courier New" w:hAnsi="Courier New"/>
                <w:sz w:val="20"/>
                <w:szCs w:val="20"/>
              </w:rPr>
              <w:t>/\^</w:t>
            </w:r>
            <w:proofErr w:type="gramStart"/>
            <w:r>
              <w:rPr>
                <w:rFonts w:ascii="Courier New" w:hAnsi="Courier New"/>
                <w:sz w:val="20"/>
                <w:szCs w:val="20"/>
              </w:rPr>
              <w:t>./</w:t>
            </w:r>
            <w:proofErr w:type="gramEnd"/>
          </w:p>
        </w:tc>
        <w:tc>
          <w:tcPr>
            <w:tcW w:w="7223" w:type="dxa"/>
            <w:tcBorders>
              <w:left w:val="single" w:sz="1" w:space="0" w:color="000000"/>
            </w:tcBorders>
            <w:shd w:val="clear" w:color="auto" w:fill="auto"/>
          </w:tcPr>
          <w:p w14:paraId="7EB0846E" w14:textId="77777777" w:rsidR="00321CAA" w:rsidRDefault="00321CAA" w:rsidP="00321CAA">
            <w:pPr>
              <w:snapToGrid w:val="0"/>
              <w:jc w:val="both"/>
              <w:rPr>
                <w:b/>
                <w:bCs/>
              </w:rPr>
            </w:pPr>
          </w:p>
        </w:tc>
      </w:tr>
      <w:tr w:rsidR="00321CAA" w14:paraId="00CE94CB" w14:textId="77777777" w:rsidTr="00321CAA">
        <w:tc>
          <w:tcPr>
            <w:tcW w:w="1440" w:type="dxa"/>
            <w:tcBorders>
              <w:left w:val="single" w:sz="1" w:space="0" w:color="000000"/>
              <w:bottom w:val="single" w:sz="4" w:space="0" w:color="000000"/>
            </w:tcBorders>
            <w:shd w:val="clear" w:color="auto" w:fill="auto"/>
          </w:tcPr>
          <w:p w14:paraId="1D7033A9" w14:textId="77777777" w:rsidR="00321CAA" w:rsidRDefault="00321CAA" w:rsidP="00321CAA">
            <w:pPr>
              <w:snapToGrid w:val="0"/>
              <w:jc w:val="center"/>
              <w:rPr>
                <w:rFonts w:ascii="Courier New" w:hAnsi="Courier New"/>
                <w:sz w:val="20"/>
                <w:szCs w:val="20"/>
              </w:rPr>
            </w:pPr>
            <w:r>
              <w:rPr>
                <w:rFonts w:ascii="Courier New" w:hAnsi="Courier New"/>
                <w:sz w:val="20"/>
                <w:szCs w:val="20"/>
              </w:rPr>
              <w:t>$</w:t>
            </w:r>
          </w:p>
        </w:tc>
        <w:tc>
          <w:tcPr>
            <w:tcW w:w="5490" w:type="dxa"/>
            <w:tcBorders>
              <w:left w:val="single" w:sz="1" w:space="0" w:color="000000"/>
              <w:bottom w:val="single" w:sz="4" w:space="0" w:color="000000"/>
            </w:tcBorders>
            <w:shd w:val="clear" w:color="auto" w:fill="auto"/>
          </w:tcPr>
          <w:p w14:paraId="747A924A" w14:textId="77777777" w:rsidR="00321CAA" w:rsidRDefault="00321CAA" w:rsidP="00321CAA">
            <w:pPr>
              <w:pStyle w:val="TableContents"/>
              <w:snapToGrid w:val="0"/>
              <w:jc w:val="center"/>
              <w:rPr>
                <w:bCs/>
              </w:rPr>
            </w:pPr>
            <w:r>
              <w:rPr>
                <w:bCs/>
              </w:rPr>
              <w:t>End of read; follows the character that indicates the nucleotide at that position from the read</w:t>
            </w:r>
          </w:p>
        </w:tc>
        <w:tc>
          <w:tcPr>
            <w:tcW w:w="3099" w:type="dxa"/>
            <w:tcBorders>
              <w:left w:val="single" w:sz="1" w:space="0" w:color="000000"/>
              <w:bottom w:val="single" w:sz="4" w:space="0" w:color="000000"/>
            </w:tcBorders>
            <w:shd w:val="clear" w:color="auto" w:fill="auto"/>
          </w:tcPr>
          <w:p w14:paraId="1D4B0E0E" w14:textId="77777777" w:rsidR="00321CAA" w:rsidRDefault="00321CAA" w:rsidP="00321CAA">
            <w:pPr>
              <w:pStyle w:val="TableContents"/>
              <w:snapToGrid w:val="0"/>
              <w:jc w:val="center"/>
              <w:rPr>
                <w:rFonts w:ascii="Courier New" w:hAnsi="Courier New"/>
                <w:bCs/>
                <w:sz w:val="20"/>
                <w:szCs w:val="20"/>
              </w:rPr>
            </w:pPr>
            <w:r>
              <w:rPr>
                <w:rFonts w:ascii="Courier New" w:hAnsi="Courier New"/>
                <w:bCs/>
                <w:sz w:val="20"/>
                <w:szCs w:val="20"/>
              </w:rPr>
              <w:t>/\$/</w:t>
            </w:r>
          </w:p>
        </w:tc>
        <w:tc>
          <w:tcPr>
            <w:tcW w:w="7223" w:type="dxa"/>
            <w:tcBorders>
              <w:left w:val="single" w:sz="1" w:space="0" w:color="000000"/>
            </w:tcBorders>
            <w:shd w:val="clear" w:color="auto" w:fill="auto"/>
          </w:tcPr>
          <w:p w14:paraId="6366FB96" w14:textId="77777777" w:rsidR="00321CAA" w:rsidRDefault="00321CAA" w:rsidP="00321CAA">
            <w:pPr>
              <w:snapToGrid w:val="0"/>
              <w:jc w:val="both"/>
              <w:rPr>
                <w:b/>
                <w:bCs/>
              </w:rPr>
            </w:pPr>
          </w:p>
        </w:tc>
      </w:tr>
      <w:tr w:rsidR="00321CAA" w14:paraId="2213A9FF" w14:textId="77777777" w:rsidTr="00321CAA">
        <w:tc>
          <w:tcPr>
            <w:tcW w:w="1440" w:type="dxa"/>
            <w:tcBorders>
              <w:top w:val="single" w:sz="4" w:space="0" w:color="000000"/>
              <w:left w:val="single" w:sz="4" w:space="0" w:color="000000"/>
              <w:bottom w:val="single" w:sz="4" w:space="0" w:color="000000"/>
            </w:tcBorders>
            <w:shd w:val="clear" w:color="auto" w:fill="auto"/>
          </w:tcPr>
          <w:p w14:paraId="102EE76C" w14:textId="77777777" w:rsidR="00321CAA" w:rsidRDefault="00321CAA" w:rsidP="00321CAA">
            <w:pPr>
              <w:snapToGrid w:val="0"/>
              <w:jc w:val="center"/>
              <w:rPr>
                <w:rFonts w:ascii="Courier New" w:hAnsi="Courier New"/>
                <w:sz w:val="20"/>
                <w:szCs w:val="20"/>
              </w:rPr>
            </w:pPr>
            <w:r>
              <w:rPr>
                <w:rFonts w:ascii="Courier New" w:hAnsi="Courier New"/>
                <w:sz w:val="20"/>
                <w:szCs w:val="20"/>
              </w:rPr>
              <w:t>+2AA</w:t>
            </w:r>
          </w:p>
        </w:tc>
        <w:tc>
          <w:tcPr>
            <w:tcW w:w="5490" w:type="dxa"/>
            <w:tcBorders>
              <w:top w:val="single" w:sz="4" w:space="0" w:color="000000"/>
              <w:left w:val="single" w:sz="4" w:space="0" w:color="000000"/>
              <w:bottom w:val="single" w:sz="4" w:space="0" w:color="000000"/>
            </w:tcBorders>
            <w:shd w:val="clear" w:color="auto" w:fill="auto"/>
          </w:tcPr>
          <w:p w14:paraId="7270CC23" w14:textId="77777777" w:rsidR="00321CAA" w:rsidRDefault="00321CAA" w:rsidP="00321CAA">
            <w:pPr>
              <w:pStyle w:val="TableContents"/>
              <w:snapToGrid w:val="0"/>
              <w:jc w:val="center"/>
              <w:rPr>
                <w:bCs/>
              </w:rPr>
            </w:pPr>
            <w:r>
              <w:rPr>
                <w:bCs/>
              </w:rPr>
              <w:t xml:space="preserve">Insertion of two bases relative to the reference. ‘+’ </w:t>
            </w:r>
            <w:proofErr w:type="gramStart"/>
            <w:r>
              <w:rPr>
                <w:bCs/>
              </w:rPr>
              <w:t>indicates</w:t>
            </w:r>
            <w:proofErr w:type="gramEnd"/>
            <w:r>
              <w:rPr>
                <w:bCs/>
              </w:rPr>
              <w:t xml:space="preserve"> an insertion, ‘2’ means it is 2 bases in length, ‘AA’ means that two ‘A’ bases are inserted.</w:t>
            </w:r>
          </w:p>
        </w:tc>
        <w:tc>
          <w:tcPr>
            <w:tcW w:w="3099" w:type="dxa"/>
            <w:tcBorders>
              <w:top w:val="single" w:sz="4" w:space="0" w:color="000000"/>
              <w:left w:val="single" w:sz="4" w:space="0" w:color="000000"/>
              <w:bottom w:val="single" w:sz="4" w:space="0" w:color="000000"/>
            </w:tcBorders>
            <w:shd w:val="clear" w:color="auto" w:fill="auto"/>
          </w:tcPr>
          <w:p w14:paraId="6C543F01" w14:textId="77777777" w:rsidR="00321CAA" w:rsidRDefault="00321CAA" w:rsidP="00321CAA">
            <w:pPr>
              <w:pStyle w:val="TableContents"/>
              <w:snapToGrid w:val="0"/>
              <w:jc w:val="center"/>
              <w:rPr>
                <w:rFonts w:ascii="Courier New" w:hAnsi="Courier New"/>
                <w:bCs/>
                <w:sz w:val="20"/>
                <w:szCs w:val="20"/>
              </w:rPr>
            </w:pPr>
            <w:r>
              <w:rPr>
                <w:rFonts w:ascii="Courier New" w:hAnsi="Courier New"/>
                <w:bCs/>
                <w:sz w:val="20"/>
                <w:szCs w:val="20"/>
              </w:rPr>
              <w:t>/\+\</w:t>
            </w:r>
            <w:proofErr w:type="gramStart"/>
            <w:r>
              <w:rPr>
                <w:rFonts w:ascii="Courier New" w:hAnsi="Courier New"/>
                <w:bCs/>
                <w:sz w:val="20"/>
                <w:szCs w:val="20"/>
              </w:rPr>
              <w:t>d</w:t>
            </w:r>
            <w:proofErr w:type="gramEnd"/>
            <w:r>
              <w:rPr>
                <w:rFonts w:ascii="Courier New" w:hAnsi="Courier New"/>
                <w:bCs/>
                <w:sz w:val="20"/>
                <w:szCs w:val="20"/>
              </w:rPr>
              <w:t>+[ACGT]+/</w:t>
            </w:r>
          </w:p>
        </w:tc>
        <w:tc>
          <w:tcPr>
            <w:tcW w:w="7223" w:type="dxa"/>
            <w:tcBorders>
              <w:left w:val="single" w:sz="4" w:space="0" w:color="000000"/>
            </w:tcBorders>
            <w:shd w:val="clear" w:color="auto" w:fill="auto"/>
          </w:tcPr>
          <w:p w14:paraId="7701FB54" w14:textId="77777777" w:rsidR="00321CAA" w:rsidRDefault="00321CAA" w:rsidP="00321CAA">
            <w:pPr>
              <w:snapToGrid w:val="0"/>
              <w:jc w:val="both"/>
              <w:rPr>
                <w:b/>
                <w:bCs/>
              </w:rPr>
            </w:pPr>
          </w:p>
        </w:tc>
      </w:tr>
      <w:tr w:rsidR="00321CAA" w14:paraId="6CC42434" w14:textId="77777777" w:rsidTr="00321CAA">
        <w:tc>
          <w:tcPr>
            <w:tcW w:w="1440" w:type="dxa"/>
            <w:tcBorders>
              <w:top w:val="single" w:sz="4" w:space="0" w:color="000000"/>
              <w:left w:val="single" w:sz="4" w:space="0" w:color="000000"/>
              <w:bottom w:val="single" w:sz="4" w:space="0" w:color="000000"/>
            </w:tcBorders>
            <w:shd w:val="clear" w:color="auto" w:fill="auto"/>
          </w:tcPr>
          <w:p w14:paraId="676D6570" w14:textId="77777777" w:rsidR="00321CAA" w:rsidRDefault="00321CAA" w:rsidP="00321CAA">
            <w:pPr>
              <w:snapToGrid w:val="0"/>
              <w:jc w:val="center"/>
              <w:rPr>
                <w:rFonts w:ascii="Courier New" w:hAnsi="Courier New"/>
                <w:sz w:val="20"/>
                <w:szCs w:val="20"/>
              </w:rPr>
            </w:pPr>
            <w:r>
              <w:rPr>
                <w:rFonts w:ascii="Courier New" w:hAnsi="Courier New"/>
                <w:sz w:val="20"/>
                <w:szCs w:val="20"/>
              </w:rPr>
              <w:t>-3ACG</w:t>
            </w:r>
          </w:p>
        </w:tc>
        <w:tc>
          <w:tcPr>
            <w:tcW w:w="5490" w:type="dxa"/>
            <w:tcBorders>
              <w:top w:val="single" w:sz="4" w:space="0" w:color="000000"/>
              <w:left w:val="single" w:sz="4" w:space="0" w:color="000000"/>
              <w:bottom w:val="single" w:sz="4" w:space="0" w:color="000000"/>
            </w:tcBorders>
            <w:shd w:val="clear" w:color="auto" w:fill="auto"/>
          </w:tcPr>
          <w:p w14:paraId="6AD976AA" w14:textId="77777777" w:rsidR="00321CAA" w:rsidRDefault="00321CAA" w:rsidP="00321CAA">
            <w:pPr>
              <w:pStyle w:val="TableContents"/>
              <w:snapToGrid w:val="0"/>
              <w:jc w:val="center"/>
              <w:rPr>
                <w:bCs/>
              </w:rPr>
            </w:pPr>
            <w:r>
              <w:rPr>
                <w:bCs/>
              </w:rPr>
              <w:t>Deletion of three bases relative to the reference. Same conventions as insertions, except a ‘-‘ signifying a deletion.</w:t>
            </w:r>
          </w:p>
        </w:tc>
        <w:tc>
          <w:tcPr>
            <w:tcW w:w="3099" w:type="dxa"/>
            <w:tcBorders>
              <w:top w:val="single" w:sz="4" w:space="0" w:color="000000"/>
              <w:left w:val="single" w:sz="4" w:space="0" w:color="000000"/>
              <w:bottom w:val="single" w:sz="4" w:space="0" w:color="000000"/>
            </w:tcBorders>
            <w:shd w:val="clear" w:color="auto" w:fill="auto"/>
          </w:tcPr>
          <w:p w14:paraId="33AA5710" w14:textId="77777777" w:rsidR="00321CAA" w:rsidRDefault="00321CAA" w:rsidP="00321CAA">
            <w:pPr>
              <w:pStyle w:val="TableContents"/>
              <w:snapToGrid w:val="0"/>
              <w:jc w:val="center"/>
              <w:rPr>
                <w:rFonts w:ascii="Courier New" w:hAnsi="Courier New"/>
                <w:bCs/>
                <w:sz w:val="20"/>
                <w:szCs w:val="20"/>
              </w:rPr>
            </w:pPr>
            <w:r>
              <w:rPr>
                <w:rFonts w:ascii="Courier New" w:hAnsi="Courier New"/>
                <w:bCs/>
                <w:sz w:val="20"/>
                <w:szCs w:val="20"/>
              </w:rPr>
              <w:t>/\-\</w:t>
            </w:r>
            <w:proofErr w:type="gramStart"/>
            <w:r>
              <w:rPr>
                <w:rFonts w:ascii="Courier New" w:hAnsi="Courier New"/>
                <w:bCs/>
                <w:sz w:val="20"/>
                <w:szCs w:val="20"/>
              </w:rPr>
              <w:t>d</w:t>
            </w:r>
            <w:proofErr w:type="gramEnd"/>
            <w:r>
              <w:rPr>
                <w:rFonts w:ascii="Courier New" w:hAnsi="Courier New"/>
                <w:bCs/>
                <w:sz w:val="20"/>
                <w:szCs w:val="20"/>
              </w:rPr>
              <w:t>+[ACGT]+/</w:t>
            </w:r>
          </w:p>
        </w:tc>
        <w:tc>
          <w:tcPr>
            <w:tcW w:w="7223" w:type="dxa"/>
            <w:tcBorders>
              <w:left w:val="single" w:sz="4" w:space="0" w:color="000000"/>
            </w:tcBorders>
            <w:shd w:val="clear" w:color="auto" w:fill="auto"/>
          </w:tcPr>
          <w:p w14:paraId="28DACBAB" w14:textId="77777777" w:rsidR="00321CAA" w:rsidRDefault="00321CAA" w:rsidP="00321CAA">
            <w:pPr>
              <w:snapToGrid w:val="0"/>
              <w:jc w:val="both"/>
              <w:rPr>
                <w:b/>
                <w:bCs/>
              </w:rPr>
            </w:pPr>
          </w:p>
        </w:tc>
      </w:tr>
    </w:tbl>
    <w:p w14:paraId="3BADCADD" w14:textId="77777777" w:rsidR="00321CAA" w:rsidRDefault="00321CAA" w:rsidP="00321CAA">
      <w:pPr>
        <w:jc w:val="both"/>
      </w:pPr>
    </w:p>
    <w:p w14:paraId="154C5063" w14:textId="77777777" w:rsidR="00321CAA" w:rsidRDefault="00321CAA" w:rsidP="00321CAA">
      <w:pPr>
        <w:jc w:val="both"/>
      </w:pPr>
      <w:r>
        <w:t xml:space="preserve">For the example line above, the reads map to chromosome 1, position 50. The reference base is a C and the sequencing coverage at this position is 34x. There are 4 reads that end at this position (represented by '$'), and there are 3 reads that start at this position </w:t>
      </w:r>
      <w:r>
        <w:lastRenderedPageBreak/>
        <w:t xml:space="preserve">(represented by '^x', where 'x' is an ASCII character - 33, which </w:t>
      </w:r>
      <w:r w:rsidR="00E3004E">
        <w:t>indicates</w:t>
      </w:r>
      <w:r>
        <w:t xml:space="preserve"> that read's mapping quality - in this case </w:t>
      </w:r>
      <w:r>
        <w:rPr>
          <w:rFonts w:ascii="Courier New" w:hAnsi="Courier New"/>
          <w:sz w:val="20"/>
          <w:szCs w:val="20"/>
        </w:rPr>
        <w:t>‘^F’</w:t>
      </w:r>
      <w:r>
        <w:rPr>
          <w:szCs w:val="20"/>
        </w:rPr>
        <w:t>,</w:t>
      </w:r>
      <w:r>
        <w:rPr>
          <w:rFonts w:ascii="Courier New" w:hAnsi="Courier New"/>
          <w:sz w:val="20"/>
          <w:szCs w:val="20"/>
        </w:rPr>
        <w:t xml:space="preserve"> ‘^]’</w:t>
      </w:r>
      <w:r>
        <w:rPr>
          <w:szCs w:val="20"/>
        </w:rPr>
        <w:t>, and</w:t>
      </w:r>
      <w:r>
        <w:rPr>
          <w:rFonts w:ascii="Courier New" w:hAnsi="Courier New"/>
          <w:sz w:val="20"/>
          <w:szCs w:val="20"/>
        </w:rPr>
        <w:t xml:space="preserve"> ‘^F’</w:t>
      </w:r>
      <w:r>
        <w:t xml:space="preserve">).  There is also one 4-base insertion relative to the reference (+4AGGC).  There are 2 reads that have </w:t>
      </w:r>
      <w:proofErr w:type="gramStart"/>
      <w:r>
        <w:t>an 'A'</w:t>
      </w:r>
      <w:proofErr w:type="gramEnd"/>
      <w:r>
        <w:t xml:space="preserve"> at this position, and one read that has a 'T'. Finally, there are 31 reads that have a 'C' at this position, the same as the reference base, so they are represented by either a dot or comma, depending on strand. Notice that only dots, commas, and '</w:t>
      </w:r>
      <w:proofErr w:type="spellStart"/>
      <w:r>
        <w:t>ACGTacgt</w:t>
      </w:r>
      <w:proofErr w:type="spellEnd"/>
      <w:r>
        <w:t xml:space="preserve">' characters not involved in mapping quality or </w:t>
      </w:r>
      <w:proofErr w:type="spellStart"/>
      <w:r>
        <w:t>indels</w:t>
      </w:r>
      <w:proofErr w:type="spellEnd"/>
      <w:r>
        <w:t xml:space="preserve"> contribute to overall coverage. This is because the read start (^x) and read end ($) indicators only serve as landmarks and do not contain sequence information. </w:t>
      </w:r>
      <w:proofErr w:type="spellStart"/>
      <w:r>
        <w:t>Indels</w:t>
      </w:r>
      <w:proofErr w:type="spellEnd"/>
      <w:r>
        <w:t xml:space="preserve"> also do not contribute to coverage since they are not present in the reference genome.</w:t>
      </w:r>
    </w:p>
    <w:p w14:paraId="2BB4A01C" w14:textId="77777777" w:rsidR="00321CAA" w:rsidRDefault="00321CAA" w:rsidP="00321CAA">
      <w:pPr>
        <w:jc w:val="both"/>
      </w:pPr>
    </w:p>
    <w:p w14:paraId="4B6F2A36" w14:textId="4B35FE31" w:rsidR="00321CAA" w:rsidRDefault="00321CAA" w:rsidP="00321CAA">
      <w:pPr>
        <w:jc w:val="both"/>
      </w:pPr>
      <w:r>
        <w:t>The 6th field contains the base qualities.  There is one base quality character for each character contributing to coverage in the pile, so in the example above, there are 34 base quality characters. The conversion is the same as with mapping qualities, where the integer mapping quality is calculated by taking the ASCII value of the character minus 33.  In Perl</w:t>
      </w:r>
      <w:r w:rsidR="00733CFE">
        <w:t xml:space="preserve"> and Python</w:t>
      </w:r>
      <w:r>
        <w:t xml:space="preserve">, this can be done using the </w:t>
      </w:r>
      <w:proofErr w:type="spellStart"/>
      <w:proofErr w:type="gramStart"/>
      <w:r>
        <w:rPr>
          <w:rFonts w:ascii="Courier New" w:hAnsi="Courier New"/>
          <w:sz w:val="20"/>
          <w:szCs w:val="20"/>
        </w:rPr>
        <w:t>ord</w:t>
      </w:r>
      <w:proofErr w:type="spellEnd"/>
      <w:r>
        <w:rPr>
          <w:rFonts w:ascii="Courier New" w:hAnsi="Courier New"/>
          <w:sz w:val="20"/>
          <w:szCs w:val="20"/>
        </w:rPr>
        <w:t>(</w:t>
      </w:r>
      <w:proofErr w:type="gramEnd"/>
      <w:r>
        <w:rPr>
          <w:rFonts w:ascii="Courier New" w:hAnsi="Courier New"/>
          <w:sz w:val="20"/>
          <w:szCs w:val="20"/>
        </w:rPr>
        <w:t>)</w:t>
      </w:r>
      <w:r>
        <w:t xml:space="preserve"> function:</w:t>
      </w:r>
    </w:p>
    <w:p w14:paraId="02B343DF" w14:textId="77777777" w:rsidR="00321CAA" w:rsidRDefault="00321CAA" w:rsidP="00321CAA">
      <w:pPr>
        <w:jc w:val="both"/>
      </w:pPr>
    </w:p>
    <w:p w14:paraId="323F64DB" w14:textId="77777777" w:rsidR="00321CAA" w:rsidRDefault="00321CAA" w:rsidP="00321CAA">
      <w:pPr>
        <w:jc w:val="both"/>
        <w:rPr>
          <w:rFonts w:ascii="Courier New" w:hAnsi="Courier New"/>
          <w:sz w:val="20"/>
          <w:szCs w:val="20"/>
        </w:rPr>
      </w:pPr>
      <w:proofErr w:type="gramStart"/>
      <w:r>
        <w:rPr>
          <w:rFonts w:ascii="Courier New" w:hAnsi="Courier New"/>
          <w:sz w:val="20"/>
          <w:szCs w:val="20"/>
        </w:rPr>
        <w:t>my</w:t>
      </w:r>
      <w:proofErr w:type="gramEnd"/>
      <w:r>
        <w:rPr>
          <w:rFonts w:ascii="Courier New" w:hAnsi="Courier New"/>
          <w:sz w:val="20"/>
          <w:szCs w:val="20"/>
        </w:rPr>
        <w:t xml:space="preserve"> $quality = </w:t>
      </w:r>
      <w:proofErr w:type="spellStart"/>
      <w:r>
        <w:rPr>
          <w:rFonts w:ascii="Courier New" w:hAnsi="Courier New"/>
          <w:sz w:val="20"/>
          <w:szCs w:val="20"/>
        </w:rPr>
        <w:t>ord</w:t>
      </w:r>
      <w:proofErr w:type="spellEnd"/>
      <w:r>
        <w:rPr>
          <w:rFonts w:ascii="Courier New" w:hAnsi="Courier New"/>
          <w:sz w:val="20"/>
          <w:szCs w:val="20"/>
        </w:rPr>
        <w:t>("P") - 33; # 47 in decimal</w:t>
      </w:r>
    </w:p>
    <w:p w14:paraId="450CEACB" w14:textId="77777777" w:rsidR="00321CAA" w:rsidRDefault="00321CAA" w:rsidP="00321CAA">
      <w:pPr>
        <w:jc w:val="both"/>
      </w:pPr>
    </w:p>
    <w:p w14:paraId="1B98584C" w14:textId="77777777" w:rsidR="00321CAA" w:rsidRDefault="00E3004E" w:rsidP="00321CAA">
      <w:pPr>
        <w:jc w:val="both"/>
        <w:rPr>
          <w:b/>
        </w:rPr>
      </w:pPr>
      <w:r>
        <w:rPr>
          <w:b/>
        </w:rPr>
        <w:t>Challenge</w:t>
      </w:r>
      <w:r w:rsidR="00321CAA">
        <w:rPr>
          <w:b/>
        </w:rPr>
        <w:t>:</w:t>
      </w:r>
    </w:p>
    <w:p w14:paraId="3E801A53" w14:textId="77777777" w:rsidR="00321CAA" w:rsidRDefault="00321CAA" w:rsidP="00321CAA">
      <w:pPr>
        <w:jc w:val="both"/>
      </w:pPr>
    </w:p>
    <w:p w14:paraId="537EBD44" w14:textId="5EF411E9" w:rsidR="00321CAA" w:rsidRDefault="00321CAA" w:rsidP="00321CAA">
      <w:pPr>
        <w:jc w:val="both"/>
        <w:rPr>
          <w:b/>
          <w:bCs/>
        </w:rPr>
      </w:pPr>
      <w:r w:rsidRPr="00E3004E">
        <w:rPr>
          <w:bCs/>
        </w:rPr>
        <w:t xml:space="preserve">Write a </w:t>
      </w:r>
      <w:r w:rsidR="00E3004E" w:rsidRPr="00E3004E">
        <w:rPr>
          <w:bCs/>
        </w:rPr>
        <w:t>script</w:t>
      </w:r>
      <w:r>
        <w:t xml:space="preserve"> </w:t>
      </w:r>
      <w:r w:rsidR="00F71DF1">
        <w:t xml:space="preserve">in Perl or Python </w:t>
      </w:r>
      <w:bookmarkStart w:id="0" w:name="_GoBack"/>
      <w:bookmarkEnd w:id="0"/>
      <w:r>
        <w:t xml:space="preserve">that parses the pileup file line-by-line, and will call </w:t>
      </w:r>
      <w:r w:rsidR="00551277">
        <w:t xml:space="preserve">a consensus base using </w:t>
      </w:r>
      <w:r>
        <w:t xml:space="preserve">two criteria: sequencing coverage and the proportion of consensus mismatches relative to the reference. </w:t>
      </w:r>
      <w:r w:rsidR="00551277">
        <w:rPr>
          <w:b/>
          <w:bCs/>
        </w:rPr>
        <w:t xml:space="preserve"> Call a consensus base</w:t>
      </w:r>
      <w:r>
        <w:rPr>
          <w:b/>
          <w:bCs/>
        </w:rPr>
        <w:t xml:space="preserve"> if</w:t>
      </w:r>
    </w:p>
    <w:p w14:paraId="402FAEBF" w14:textId="77777777" w:rsidR="00321CAA" w:rsidRDefault="00321CAA" w:rsidP="00321CAA">
      <w:pPr>
        <w:jc w:val="both"/>
      </w:pPr>
    </w:p>
    <w:p w14:paraId="004FB573" w14:textId="77777777" w:rsidR="00321CAA" w:rsidRDefault="00321CAA" w:rsidP="00321CAA">
      <w:pPr>
        <w:jc w:val="both"/>
      </w:pPr>
      <w:r>
        <w:t xml:space="preserve">(1) </w:t>
      </w:r>
      <w:proofErr w:type="gramStart"/>
      <w:r>
        <w:t>the</w:t>
      </w:r>
      <w:proofErr w:type="gramEnd"/>
      <w:r>
        <w:t xml:space="preserve"> sequencing coverage is greater than or equal to 5X, but less than 100X, and</w:t>
      </w:r>
    </w:p>
    <w:p w14:paraId="0CF0AB03" w14:textId="77777777" w:rsidR="00321CAA" w:rsidRDefault="00321CAA" w:rsidP="00321CAA">
      <w:pPr>
        <w:jc w:val="both"/>
      </w:pPr>
    </w:p>
    <w:p w14:paraId="07DD4858" w14:textId="77777777" w:rsidR="00321CAA" w:rsidRDefault="00321CAA" w:rsidP="00321CAA">
      <w:pPr>
        <w:jc w:val="both"/>
      </w:pPr>
      <w:r>
        <w:t xml:space="preserve">(2) </w:t>
      </w:r>
      <w:proofErr w:type="gramStart"/>
      <w:r>
        <w:t>the</w:t>
      </w:r>
      <w:proofErr w:type="gramEnd"/>
      <w:r>
        <w:t xml:space="preserve"> percentage of consensus </w:t>
      </w:r>
      <w:r>
        <w:rPr>
          <w:i/>
        </w:rPr>
        <w:t>mismatches</w:t>
      </w:r>
      <w:r>
        <w:t xml:space="preserve"> relative to the reference is greater than or equal to 80% of the total number of bases in the pile.</w:t>
      </w:r>
    </w:p>
    <w:p w14:paraId="4F2D06F0" w14:textId="77777777" w:rsidR="00321CAA" w:rsidRDefault="00321CAA" w:rsidP="00321CAA">
      <w:pPr>
        <w:jc w:val="both"/>
      </w:pPr>
    </w:p>
    <w:p w14:paraId="0D7011DD" w14:textId="77777777" w:rsidR="00321CAA" w:rsidRDefault="00321CAA" w:rsidP="00321CAA">
      <w:pPr>
        <w:jc w:val="both"/>
      </w:pPr>
      <w:r>
        <w:t xml:space="preserve">However, </w:t>
      </w:r>
      <w:r>
        <w:rPr>
          <w:b/>
          <w:bCs/>
        </w:rPr>
        <w:t>ignore bases whose seq</w:t>
      </w:r>
      <w:r w:rsidR="002B6B63">
        <w:rPr>
          <w:b/>
          <w:bCs/>
        </w:rPr>
        <w:t>uencing quality score is below 4</w:t>
      </w:r>
      <w:r>
        <w:rPr>
          <w:b/>
          <w:bCs/>
        </w:rPr>
        <w:t>0</w:t>
      </w:r>
      <w:r>
        <w:t>.  That is, do not use them to compute either the proportion of consensus mismatches, or the total coverage.</w:t>
      </w:r>
    </w:p>
    <w:p w14:paraId="1F6A14B8" w14:textId="77777777" w:rsidR="00321CAA" w:rsidRDefault="00321CAA" w:rsidP="00321CAA">
      <w:pPr>
        <w:jc w:val="both"/>
      </w:pPr>
    </w:p>
    <w:p w14:paraId="43A98A9F" w14:textId="77777777" w:rsidR="00321CAA" w:rsidRDefault="00321CAA" w:rsidP="00321CAA">
      <w:pPr>
        <w:jc w:val="both"/>
        <w:rPr>
          <w:b/>
        </w:rPr>
      </w:pPr>
      <w:r>
        <w:rPr>
          <w:b/>
        </w:rPr>
        <w:t>Methods:</w:t>
      </w:r>
    </w:p>
    <w:p w14:paraId="5A37BCF1" w14:textId="77777777" w:rsidR="00321CAA" w:rsidRDefault="00321CAA" w:rsidP="00321CAA">
      <w:pPr>
        <w:jc w:val="both"/>
      </w:pPr>
    </w:p>
    <w:p w14:paraId="275858D2" w14:textId="04E9925B" w:rsidR="00321CAA" w:rsidRDefault="00551277" w:rsidP="00321CAA">
      <w:pPr>
        <w:jc w:val="both"/>
      </w:pPr>
      <w:r>
        <w:t>Consensus base</w:t>
      </w:r>
      <w:r w:rsidR="00321CAA">
        <w:t xml:space="preserve"> calling from piles is </w:t>
      </w:r>
      <w:r w:rsidR="00E3004E">
        <w:t xml:space="preserve">partly </w:t>
      </w:r>
      <w:r w:rsidR="00321CAA">
        <w:t>an exercise in regular expressions.  Since the piles are riddled with mapping qualities that can contain '</w:t>
      </w:r>
      <w:proofErr w:type="spellStart"/>
      <w:r w:rsidR="00321CAA">
        <w:t>ACGTacgt</w:t>
      </w:r>
      <w:proofErr w:type="spellEnd"/>
      <w:r w:rsidR="00321CAA">
        <w:t xml:space="preserve">' following a carat (^), as well as </w:t>
      </w:r>
      <w:proofErr w:type="spellStart"/>
      <w:r w:rsidR="00321CAA">
        <w:t>indels</w:t>
      </w:r>
      <w:proofErr w:type="spellEnd"/>
      <w:r w:rsidR="00321CAA">
        <w:t xml:space="preserve">, you must parse the pile carefully, taking care to </w:t>
      </w:r>
      <w:r w:rsidR="00321CAA">
        <w:rPr>
          <w:b/>
          <w:bCs/>
        </w:rPr>
        <w:t xml:space="preserve">only count the characters indicating a mismatch, and not indicating mapping qualities or </w:t>
      </w:r>
      <w:proofErr w:type="spellStart"/>
      <w:r w:rsidR="00321CAA">
        <w:rPr>
          <w:b/>
          <w:bCs/>
        </w:rPr>
        <w:t>indels</w:t>
      </w:r>
      <w:proofErr w:type="spellEnd"/>
      <w:r w:rsidR="00321CAA">
        <w:t xml:space="preserve">.  That is, a mapping quality such as ‘^A’ that occurs in the pile </w:t>
      </w:r>
      <w:r w:rsidR="00321CAA">
        <w:rPr>
          <w:u w:val="single"/>
        </w:rPr>
        <w:t>should not</w:t>
      </w:r>
      <w:r w:rsidR="00321CAA">
        <w:t xml:space="preserve"> be taken as </w:t>
      </w:r>
      <w:proofErr w:type="gramStart"/>
      <w:r w:rsidR="00321CAA">
        <w:t>an ‘A’</w:t>
      </w:r>
      <w:proofErr w:type="gramEnd"/>
      <w:r w:rsidR="00321CAA">
        <w:t xml:space="preserve"> from sequencing, but rather seen as a mapping quality and ignored.  Similarly, </w:t>
      </w:r>
      <w:proofErr w:type="spellStart"/>
      <w:r w:rsidR="00321CAA">
        <w:t>indel</w:t>
      </w:r>
      <w:proofErr w:type="spellEnd"/>
      <w:r w:rsidR="00321CAA">
        <w:t xml:space="preserve"> characters such as ‘-5ATGCC’ or ‘+2AA’ should not contribute to coverage.</w:t>
      </w:r>
    </w:p>
    <w:p w14:paraId="03544004" w14:textId="77777777" w:rsidR="00321CAA" w:rsidRDefault="00321CAA" w:rsidP="00321CAA">
      <w:pPr>
        <w:jc w:val="both"/>
      </w:pPr>
    </w:p>
    <w:p w14:paraId="5228971E" w14:textId="77777777" w:rsidR="007E6464" w:rsidRDefault="00E3004E">
      <w:r>
        <w:t>Output:</w:t>
      </w:r>
    </w:p>
    <w:p w14:paraId="7A3A468B" w14:textId="77777777" w:rsidR="00E3004E" w:rsidRDefault="00E3004E"/>
    <w:p w14:paraId="28B141E0" w14:textId="77777777" w:rsidR="00E3004E" w:rsidRDefault="00E3004E">
      <w:r>
        <w:t xml:space="preserve">The output file should </w:t>
      </w:r>
      <w:r w:rsidR="00402872">
        <w:t>have the following</w:t>
      </w:r>
      <w:r>
        <w:t xml:space="preserve"> format:</w:t>
      </w:r>
    </w:p>
    <w:p w14:paraId="3339001F" w14:textId="77777777" w:rsidR="00E3004E" w:rsidRDefault="00E3004E"/>
    <w:p w14:paraId="2CC6859F" w14:textId="77777777" w:rsidR="00E3004E" w:rsidRDefault="00E3004E" w:rsidP="00E3004E">
      <w:pPr>
        <w:jc w:val="both"/>
      </w:pPr>
      <w:r>
        <w:t>1 - Reference chromosome</w:t>
      </w:r>
    </w:p>
    <w:p w14:paraId="5700EEDD" w14:textId="77777777" w:rsidR="00E3004E" w:rsidRDefault="00E3004E" w:rsidP="00E3004E">
      <w:pPr>
        <w:jc w:val="both"/>
      </w:pPr>
      <w:r>
        <w:t>2 - Reference position (1-indexed)</w:t>
      </w:r>
    </w:p>
    <w:p w14:paraId="59D886C6" w14:textId="77777777" w:rsidR="00402872" w:rsidRDefault="00402872" w:rsidP="00E3004E">
      <w:pPr>
        <w:jc w:val="both"/>
      </w:pPr>
      <w:r>
        <w:t>3 - Calculated Consensus base</w:t>
      </w:r>
    </w:p>
    <w:p w14:paraId="62B748BF" w14:textId="77777777" w:rsidR="00E3004E" w:rsidRDefault="00E3004E"/>
    <w:sectPr w:rsidR="00E3004E" w:rsidSect="007B3E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DejaVu Sans">
    <w:altName w:val="Times New Roman"/>
    <w:charset w:val="80"/>
    <w:family w:val="auto"/>
    <w:pitch w:val="variable"/>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CAA"/>
    <w:rsid w:val="002B6B63"/>
    <w:rsid w:val="00321CAA"/>
    <w:rsid w:val="00402872"/>
    <w:rsid w:val="00551277"/>
    <w:rsid w:val="00733CFE"/>
    <w:rsid w:val="007B3E6E"/>
    <w:rsid w:val="007E6464"/>
    <w:rsid w:val="0088762F"/>
    <w:rsid w:val="00E3004E"/>
    <w:rsid w:val="00F71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E374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CAA"/>
    <w:pPr>
      <w:widowControl w:val="0"/>
      <w:suppressAutoHyphens/>
    </w:pPr>
    <w:rPr>
      <w:rFonts w:ascii="Times New Roman" w:eastAsia="DejaVu Sans" w:hAnsi="Times New Roman" w:cs="Times New Roman"/>
      <w:kern w:val="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321CAA"/>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CAA"/>
    <w:pPr>
      <w:widowControl w:val="0"/>
      <w:suppressAutoHyphens/>
    </w:pPr>
    <w:rPr>
      <w:rFonts w:ascii="Times New Roman" w:eastAsia="DejaVu Sans" w:hAnsi="Times New Roman" w:cs="Times New Roman"/>
      <w:kern w:val="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321CA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760</Words>
  <Characters>4337</Characters>
  <Application>Microsoft Macintosh Word</Application>
  <DocSecurity>0</DocSecurity>
  <Lines>36</Lines>
  <Paragraphs>10</Paragraphs>
  <ScaleCrop>false</ScaleCrop>
  <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Cherry</dc:creator>
  <cp:keywords/>
  <dc:description/>
  <cp:lastModifiedBy>Eurie Hong</cp:lastModifiedBy>
  <cp:revision>5</cp:revision>
  <dcterms:created xsi:type="dcterms:W3CDTF">2012-06-14T04:17:00Z</dcterms:created>
  <dcterms:modified xsi:type="dcterms:W3CDTF">2012-06-18T19:12:00Z</dcterms:modified>
</cp:coreProperties>
</file>