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E3A8A"/>
          <w:sz w:val="56"/>
          <w:szCs w:val="56"/>
        </w:rPr>
        <w:t xml:space="preserve">Security Audit Report</w:t>
      </w:r>
    </w:p>
    <w:p>
      <w:pPr>
        <w:spacing w:after="40"/>
        <w:jc w:val="center"/>
      </w:pPr>
      <w:r>
        <w:rPr>
          <w:color w:val="334155"/>
          <w:sz w:val="28"/>
          <w:szCs w:val="28"/>
        </w:rPr>
        <w:t xml:space="preserve">IT-Guru Online — Web Application</w:t>
      </w:r>
    </w:p>
    <w:p>
      <w:pPr>
        <w:spacing w:after="360"/>
        <w:jc w:val="center"/>
      </w:pPr>
      <w:r>
        <w:rPr>
          <w:i/>
          <w:iCs/>
          <w:color w:val="334155"/>
          <w:sz w:val="24"/>
          <w:szCs w:val="24"/>
        </w:rPr>
        <w:t xml:space="preserve">16 June 2026</w:t>
      </w:r>
    </w:p>
    <w:p>
      <w:pPr>
        <w:spacing w:after="160"/>
      </w:pPr>
      <w:r>
        <w:t xml:space="preserve">This report covers a combined OWASP ZAP baseline scan and a manual OWASP Top 10 static code review of the IT-Guru Online Next.js web application, performed against a local production build (next build &amp;&amp; next start). All findings were remediated and re-tested before this report was finalised. This document should be re-read before making future changes to API routes, HTTP security headers, or rate limiting, and the same process should be re-run if those areas change significantly.</w:t>
      </w:r>
    </w:p>
    <w:p>
      <w:pPr>
        <w:pStyle w:val="Heading1"/>
      </w:pPr>
      <w:r>
        <w:t xml:space="preserve">1. Scope &amp; Methodology</w:t>
      </w:r>
    </w:p>
    <w:p>
      <w:pPr>
        <w:pStyle w:val="ListParagraph"/>
        <w:numPr>
          <w:ilvl w:val="0"/>
          <w:numId w:val="2"/>
        </w:numPr>
        <w:spacing w:after="100"/>
      </w:pPr>
      <w:r>
        <w:rPr>
          <w:b/>
          <w:bCs/>
        </w:rPr>
        <w:t xml:space="preserve">Target: </w:t>
      </w:r>
      <w:r>
        <w:t xml:space="preserve">IT-Guru Online marketing and client-registration website (Next.js 16, App Router), built and served locally in production mode to mirror the live Netlify deployment.</w:t>
      </w:r>
    </w:p>
    <w:p>
      <w:pPr>
        <w:pStyle w:val="ListParagraph"/>
        <w:numPr>
          <w:ilvl w:val="0"/>
          <w:numId w:val="2"/>
        </w:numPr>
        <w:spacing w:after="100"/>
      </w:pPr>
      <w:r>
        <w:rPr>
          <w:b/>
          <w:bCs/>
        </w:rPr>
        <w:t xml:space="preserve">Dynamic testing: </w:t>
      </w:r>
      <w:r>
        <w:t xml:space="preserve">OWASP ZAP baseline scan (official Docker image, ghcr.io/zaproxy/zaproxy:stable), run via the Automation Framework against http://host.docker.internal:3000.</w:t>
      </w:r>
    </w:p>
    <w:p>
      <w:pPr>
        <w:pStyle w:val="ListParagraph"/>
        <w:numPr>
          <w:ilvl w:val="0"/>
          <w:numId w:val="2"/>
        </w:numPr>
        <w:spacing w:after="100"/>
      </w:pPr>
      <w:r>
        <w:rPr>
          <w:b/>
          <w:bCs/>
        </w:rPr>
        <w:t xml:space="preserve">Static review: </w:t>
      </w:r>
      <w:r>
        <w:t xml:space="preserve">Manual walkthrough of all three API routes, the email-sending library, and form-validation logic against the OWASP Top 10 categories — Injection, SSRF, Security Misconfiguration, Sensitive Data Exposure, Broken Access Control / Rate Limiting, CSRF, Mass Assignment, Open Redirect, Information Disclosure, and Clickjacking.</w:t>
      </w:r>
    </w:p>
    <w:p>
      <w:pPr>
        <w:pStyle w:val="ListParagraph"/>
        <w:numPr>
          <w:ilvl w:val="0"/>
          <w:numId w:val="2"/>
        </w:numPr>
        <w:spacing w:after="100"/>
      </w:pPr>
      <w:r>
        <w:rPr>
          <w:b/>
          <w:bCs/>
        </w:rPr>
        <w:t xml:space="preserve">Dependency audit: </w:t>
      </w:r>
      <w:r>
        <w:t xml:space="preserve">npm audit against the full dependency tree.</w:t>
      </w:r>
    </w:p>
    <w:p>
      <w:pPr>
        <w:pStyle w:val="ListParagraph"/>
        <w:numPr>
          <w:ilvl w:val="0"/>
          <w:numId w:val="2"/>
        </w:numPr>
        <w:spacing w:after="100"/>
      </w:pPr>
      <w:r>
        <w:rPr>
          <w:b/>
          <w:bCs/>
        </w:rPr>
        <w:t xml:space="preserve">Re-test: </w:t>
      </w:r>
      <w:r>
        <w:t xml:space="preserve">Full production rebuild, TypeScript check, an 8-page console-error sweep, two end-to-end form submissions (Contact and Domain Checker), and a second ZAP baseline scan after fixes were applied.</w:t>
      </w:r>
    </w:p>
    <w:p>
      <w:pPr>
        <w:spacing w:after="100" w:before="200"/>
      </w:pPr>
      <w:r>
        <w:rPr>
          <w:b/>
          <w:bCs/>
        </w:rPr>
        <w:t xml:space="preserve">How to reproduce this audit:</w:t>
      </w:r>
    </w:p>
    <w:p>
      <w:pPr>
        <w:spacing w:after="60"/>
      </w:pPr>
      <w:r>
        <w:rPr>
          <w:rFonts w:ascii="Consolas" w:cs="Consolas" w:eastAsia="Consolas" w:hAnsi="Consolas"/>
          <w:color w:val="B91C1C"/>
          <w:sz w:val="20"/>
          <w:szCs w:val="20"/>
        </w:rPr>
        <w:t xml:space="preserve">npm run build &amp;&amp; npm run start</w:t>
      </w:r>
    </w:p>
    <w:p>
      <w:pPr>
        <w:spacing w:after="60"/>
      </w:pPr>
      <w:r>
        <w:rPr>
          <w:rFonts w:ascii="Consolas" w:cs="Consolas" w:eastAsia="Consolas" w:hAnsi="Consolas"/>
          <w:color w:val="B91C1C"/>
          <w:sz w:val="20"/>
          <w:szCs w:val="20"/>
        </w:rPr>
        <w:t xml:space="preserve">docker run --rm -v "&lt;repo-path&gt;/zap-report:/zap/wrk/:rw" ghcr.io/zaproxy/zaproxy:stable \</w:t>
      </w:r>
    </w:p>
    <w:p>
      <w:pPr>
        <w:spacing w:after="60"/>
      </w:pPr>
      <w:r>
        <w:rPr>
          <w:rFonts w:ascii="Consolas" w:cs="Consolas" w:eastAsia="Consolas" w:hAnsi="Consolas"/>
          <w:color w:val="B91C1C"/>
          <w:sz w:val="20"/>
          <w:szCs w:val="20"/>
        </w:rPr>
        <w:t xml:space="preserve">  zap-baseline.py -t http://host.docker.internal:3000 -r report.html -J report.json -I</w:t>
      </w:r>
    </w:p>
    <w:p>
      <w:pPr>
        <w:spacing w:after="200"/>
      </w:pPr>
      <w:r>
        <w:rPr>
          <w:rFonts w:ascii="Consolas" w:cs="Consolas" w:eastAsia="Consolas" w:hAnsi="Consolas"/>
          <w:color w:val="B91C1C"/>
          <w:sz w:val="20"/>
          <w:szCs w:val="20"/>
        </w:rPr>
        <w:t xml:space="preserve">npm audit</w:t>
      </w:r>
    </w:p>
    <w:p>
      <w:pPr>
        <w:pStyle w:val="Heading1"/>
      </w:pPr>
      <w:r>
        <w:t xml:space="preserve">2. Executive Summary</w:t>
      </w:r>
    </w:p>
    <w:p>
      <w:pPr>
        <w:spacing w:after="160"/>
      </w:pPr>
      <w:r>
        <w:t xml:space="preserve">No exploitable vulnerabilities (injection, cross-site scripting, server-side request forgery, open redirect, mass assignment, or information disclosure) were found in the application's own code. All user input reaching outgoing emails is already escaped and sanitised by existing helper functions. The findings in this report are hardening gaps — missing defence-in-depth controls and out-of-date dependencies — not active exploits discovered in the wild.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1E3A8A" w:val="clear"/>
            <w:tcMar>
              <w:top w:type="dxa" w:w="100"/>
              <w:left w:type="dxa" w:w="120"/>
              <w:bottom w:type="dxa" w:w="100"/>
              <w:right w:type="dxa" w:w="120"/>
            </w:tcMar>
            <w:vAlign w:val="center"/>
          </w:tcPr>
          <w:p>
            <w:pPr>
              <w:jc w:val="left"/>
            </w:pPr>
            <w:r>
              <w:rPr>
                <w:b/>
                <w:bCs/>
                <w:color w:val="FFFFFF"/>
              </w:rPr>
              <w:t xml:space="preserve">Metric</w:t>
            </w:r>
          </w:p>
        </w:tc>
        <w:tc>
          <w:tcPr>
            <w:tcW w:type="dxa" w:w="2340"/>
            <w:tcBorders>
              <w:top w:val="single" w:color="CCCCCC" w:sz="1"/>
              <w:left w:val="single" w:color="CCCCCC" w:sz="1"/>
              <w:bottom w:val="single" w:color="CCCCCC" w:sz="1"/>
              <w:right w:val="single" w:color="CCCCCC" w:sz="1"/>
            </w:tcBorders>
            <w:shd w:fill="1E3A8A" w:val="clear"/>
            <w:tcMar>
              <w:top w:type="dxa" w:w="100"/>
              <w:left w:type="dxa" w:w="120"/>
              <w:bottom w:type="dxa" w:w="100"/>
              <w:right w:type="dxa" w:w="120"/>
            </w:tcMar>
            <w:vAlign w:val="center"/>
          </w:tcPr>
          <w:p>
            <w:pPr>
              <w:jc w:val="left"/>
            </w:pPr>
            <w:r>
              <w:rPr>
                <w:b/>
                <w:bCs/>
                <w:color w:val="FFFFFF"/>
              </w:rPr>
              <w:t xml:space="preserve">Before</w:t>
            </w:r>
          </w:p>
        </w:tc>
        <w:tc>
          <w:tcPr>
            <w:tcW w:type="dxa" w:w="2340"/>
            <w:tcBorders>
              <w:top w:val="single" w:color="CCCCCC" w:sz="1"/>
              <w:left w:val="single" w:color="CCCCCC" w:sz="1"/>
              <w:bottom w:val="single" w:color="CCCCCC" w:sz="1"/>
              <w:right w:val="single" w:color="CCCCCC" w:sz="1"/>
            </w:tcBorders>
            <w:shd w:fill="1E3A8A" w:val="clear"/>
            <w:tcMar>
              <w:top w:type="dxa" w:w="100"/>
              <w:left w:type="dxa" w:w="120"/>
              <w:bottom w:type="dxa" w:w="100"/>
              <w:right w:type="dxa" w:w="120"/>
            </w:tcMar>
            <w:vAlign w:val="center"/>
          </w:tcPr>
          <w:p>
            <w:pPr>
              <w:jc w:val="left"/>
            </w:pPr>
            <w:r>
              <w:rPr>
                <w:b/>
                <w:bCs/>
                <w:color w:val="FFFFFF"/>
              </w:rPr>
              <w:t xml:space="preserve">After</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rPr>
              <w:t xml:space="preserve">ZAP baseline — FAIL</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rPr>
              <w:t xml:space="preserve">0</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rPr>
              <w:t xml:space="preserve">0</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rPr>
              <w:t xml:space="preserve">ZAP baseline — WARN</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rPr>
              <w:t xml:space="preserve">10</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rPr>
              <w:t xml:space="preserve">6</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rPr>
              <w:t xml:space="preserve">ZAP baseline — PASS</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rPr>
              <w:t xml:space="preserve">57</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rPr>
              <w:t xml:space="preserve">61</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rPr>
              <w:t xml:space="preserve">npm audit vulnerabilities</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rPr>
              <w:t xml:space="preserve">6 (2 high, 3 moderate, 1 low)</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rPr>
              <w:t xml:space="preserve">2 moderate (accepted — see §5)</w:t>
            </w:r>
          </w:p>
        </w:tc>
      </w:tr>
    </w:tbl>
    <w:p>
      <w:pPr>
        <w:spacing w:after="200"/>
      </w:pPr>
    </w:p>
    <w:p>
      <w:pPr>
        <w:spacing w:after="160"/>
      </w:pPr>
      <w:r>
        <w:t xml:space="preserve">Remaining ZAP warnings were each individually reviewed and are either false positives or deliberate, documented trade-offs — see Section 5.</w:t>
      </w:r>
    </w:p>
    <w:p>
      <w:pPr>
        <w:pStyle w:val="Heading1"/>
      </w:pPr>
      <w:r>
        <w:t xml:space="preserve">3. Findings &amp; Remediation</w:t>
      </w:r>
    </w:p>
    <w:p>
      <w:pPr>
        <w:spacing w:after="160"/>
      </w:pPr>
      <w:r>
        <w:t xml:space="preserve">All six findings below were fixed and re-tested. Each row lists the issue and the exact remediation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CCCCCC" w:sz="1"/>
              <w:left w:val="single" w:color="CCCCCC" w:sz="1"/>
              <w:bottom w:val="single" w:color="CCCCCC" w:sz="1"/>
              <w:right w:val="single" w:color="CCCCCC" w:sz="1"/>
            </w:tcBorders>
            <w:shd w:fill="1E3A8A" w:val="clear"/>
            <w:tcMar>
              <w:top w:type="dxa" w:w="100"/>
              <w:left w:type="dxa" w:w="120"/>
              <w:bottom w:type="dxa" w:w="100"/>
              <w:right w:type="dxa" w:w="120"/>
            </w:tcMar>
            <w:vAlign w:val="center"/>
          </w:tcPr>
          <w:p>
            <w:pPr>
              <w:jc w:val="left"/>
            </w:pPr>
            <w:r>
              <w:rPr>
                <w:b/>
                <w:bCs/>
                <w:color w:val="FFFFFF"/>
              </w:rPr>
              <w:t xml:space="preserve">Finding</w:t>
            </w:r>
          </w:p>
        </w:tc>
        <w:tc>
          <w:tcPr>
            <w:tcW w:type="dxa" w:w="6000"/>
            <w:tcBorders>
              <w:top w:val="single" w:color="CCCCCC" w:sz="1"/>
              <w:left w:val="single" w:color="CCCCCC" w:sz="1"/>
              <w:bottom w:val="single" w:color="CCCCCC" w:sz="1"/>
              <w:right w:val="single" w:color="CCCCCC" w:sz="1"/>
            </w:tcBorders>
            <w:shd w:fill="1E3A8A" w:val="clear"/>
            <w:tcMar>
              <w:top w:type="dxa" w:w="100"/>
              <w:left w:type="dxa" w:w="120"/>
              <w:bottom w:type="dxa" w:w="100"/>
              <w:right w:type="dxa" w:w="120"/>
            </w:tcMar>
            <w:vAlign w:val="center"/>
          </w:tcPr>
          <w:p>
            <w:pPr>
              <w:jc w:val="left"/>
            </w:pPr>
            <w:r>
              <w:rPr>
                <w:b/>
                <w:bCs/>
                <w:color w:val="FFFFFF"/>
              </w:rPr>
              <w:t xml:space="preserve">Remediation</w:t>
            </w:r>
          </w:p>
        </w:tc>
      </w:tr>
      <w:tr>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rPr>
              <w:t xml:space="preserve">No Content-Security-Policy header</w:t>
            </w:r>
          </w:p>
        </w:tc>
        <w:tc>
          <w:tcPr>
            <w:tcW w:type="dxa" w:w="6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rPr>
              <w:t xml:space="preserve">Added to next.config.ts, scoped to the only two external resources the site loads: Google Maps (frame-src) and flagcdn.com flag images (img-src).</w:t>
            </w:r>
          </w:p>
        </w:tc>
      </w:tr>
      <w:tr>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rPr>
              <w:t xml:space="preserve">X-Powered-By: Next.js header leak</w:t>
            </w:r>
          </w:p>
        </w:tc>
        <w:tc>
          <w:tcPr>
            <w:tcW w:type="dxa" w:w="6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rPr>
              <w:t xml:space="preserve">poweredByHeader: false set in next.config.ts.</w:t>
            </w:r>
          </w:p>
        </w:tc>
      </w:tr>
      <w:tr>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rPr>
              <w:t xml:space="preserve">No CSRF defence on POST API routes</w:t>
            </w:r>
          </w:p>
        </w:tc>
        <w:tc>
          <w:tcPr>
            <w:tcW w:type="dxa" w:w="6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rPr>
              <w:t xml:space="preserve">Added src/lib/csrf.ts (isTrustedOrigin) — compares the Origin header to the Host header and rejects mismatches with HTTP 403. Applied to all three POST routes: contact, register, and domain/check.</w:t>
            </w:r>
          </w:p>
        </w:tc>
      </w:tr>
      <w:tr>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rPr>
              <w:t xml:space="preserve">X-Forwarded-For trusted naively (theoretically spoofable)</w:t>
            </w:r>
          </w:p>
        </w:tc>
        <w:tc>
          <w:tcPr>
            <w:tcW w:type="dxa" w:w="6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rPr>
              <w:t xml:space="preserve">Added src/lib/client-ip.ts (getClientIp) — prefers Netlify’s own x-nf-client-connection-ip header (set by Netlify’s edge from the real TCP connection, not client-controllable), falling back to x-forwarded-for for local development.</w:t>
            </w:r>
          </w:p>
        </w:tc>
      </w:tr>
      <w:tr>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rPr>
              <w:t xml:space="preserve">hostingPackage field accepted any string</w:t>
            </w:r>
          </w:p>
        </w:tc>
        <w:tc>
          <w:tcPr>
            <w:tcW w:type="dxa" w:w="6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rPr>
              <w:t xml:space="preserve">validateStepC in registration-validators.ts now whitelists the value against the six known package IDs.</w:t>
            </w:r>
          </w:p>
        </w:tc>
      </w:tr>
      <w:tr>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rPr>
              <w:t xml:space="preserve">additionalServices field had no length cap</w:t>
            </w:r>
          </w:p>
        </w:tc>
        <w:tc>
          <w:tcPr>
            <w:tcW w:type="dxa" w:w="6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rPr>
              <w:t xml:space="preserve">Capped at 2,000 characters in validateStepC, matching the existing cap on the contact form’s message field.</w:t>
            </w:r>
          </w:p>
        </w:tc>
      </w:tr>
    </w:tbl>
    <w:p>
      <w:pPr>
        <w:spacing w:after="200"/>
      </w:pPr>
    </w:p>
    <w:p>
      <w:pPr>
        <w:pStyle w:val="Heading2"/>
      </w:pPr>
      <w:r>
        <w:t xml:space="preserve">3.1 Dependency Vulnerabilities</w:t>
      </w:r>
    </w:p>
    <w:p>
      <w:pPr>
        <w:spacing w:after="160"/>
      </w:pPr>
      <w:r>
        <w:t xml:space="preserve">npm audit identified six known vulnerabilities, all in third-party packages (none in first-party code):</w:t>
      </w:r>
    </w:p>
    <w:p>
      <w:pPr>
        <w:pStyle w:val="ListParagraph"/>
        <w:numPr>
          <w:ilvl w:val="0"/>
          <w:numId w:val="2"/>
        </w:numPr>
        <w:spacing w:after="80"/>
      </w:pPr>
      <w:r>
        <w:t xml:space="preserve">Next.js 16.2.1 carried twelve high-severity advisories: denial-of-service via Server Components, cache poisoning, middleware/proxy bypass (multiple variants), cross-site scripting via CSP nonces and beforeInteractive scripts, denial-of-service via Cache Components and the Image Optimization API, and server-side request forgery via WebSocket upgrades.</w:t>
      </w:r>
    </w:p>
    <w:p>
      <w:pPr>
        <w:pStyle w:val="ListParagraph"/>
        <w:numPr>
          <w:ilvl w:val="0"/>
          <w:numId w:val="2"/>
        </w:numPr>
        <w:spacing w:after="80"/>
      </w:pPr>
      <w:r>
        <w:t xml:space="preserve">picomatch carried a method-injection and a ReDoS (regular-expression denial-of-service) advisory.</w:t>
      </w:r>
    </w:p>
    <w:p>
      <w:pPr>
        <w:pStyle w:val="ListParagraph"/>
        <w:numPr>
          <w:ilvl w:val="0"/>
          <w:numId w:val="2"/>
        </w:numPr>
        <w:spacing w:after="80"/>
      </w:pPr>
      <w:r>
        <w:t xml:space="preserve">postcss (bundled inside an older transitive dependency) carried a moderate cross-site-scripting advisory in its CSS stringifier.</w:t>
      </w:r>
    </w:p>
    <w:p>
      <w:pPr>
        <w:spacing w:after="160"/>
      </w:pPr>
      <w:r>
        <w:t xml:space="preserve">Remediation: ran npm audit fix without the --force flag. This resolved the Next.js and picomatch advisories by upgrading Next.js 16.2.1 → 16.2.9, a patch-level release within the already-declared ^16.2.1 semver range — no breaking changes. The remaining postcss advisory is nested inside Next.js’s own bundled dependency tree; the only “fix” npm offers requires forcing a downgrade to Next.js 9.3.3, a seven-major-version regression that would break the entire application. This was declined as clearly disproportionate to a moderate-severity, low-exploitability advisory — see Section 5.</w:t>
      </w:r>
    </w:p>
    <w:p>
      <w:pPr>
        <w:pStyle w:val="Heading1"/>
      </w:pPr>
      <w:r>
        <w:t xml:space="preserve">4. Confirmed Clean (No Action Required)</w:t>
      </w:r>
    </w:p>
    <w:p>
      <w:pPr>
        <w:pStyle w:val="ListParagraph"/>
        <w:numPr>
          <w:ilvl w:val="0"/>
          <w:numId w:val="2"/>
        </w:numPr>
        <w:spacing w:after="100"/>
      </w:pPr>
      <w:r>
        <w:rPr>
          <w:b/>
          <w:bCs/>
        </w:rPr>
        <w:t xml:space="preserve">Injection / Cross-Site Scripting: </w:t>
      </w:r>
      <w:r>
        <w:t xml:space="preserve">Every piece of user input interpolated into outgoing email HTML is passed through an escapeHtml() helper, verified at every interpolation site in both the contact and registration API routes. A separate sanitize() function additionally strips HTML tags and dangerous URI schemes (javascript:, vbscript:, data:) before validation runs. No eval, Function(), child_process, or SQL/NoSQL query building exists anywhere in the codebase, and dangerouslySetInnerHTML is not used.</w:t>
      </w:r>
    </w:p>
    <w:p>
      <w:pPr>
        <w:pStyle w:val="ListParagraph"/>
        <w:numPr>
          <w:ilvl w:val="0"/>
          <w:numId w:val="2"/>
        </w:numPr>
        <w:spacing w:after="100"/>
      </w:pPr>
      <w:r>
        <w:rPr>
          <w:b/>
          <w:bCs/>
        </w:rPr>
        <w:t xml:space="preserve">Server-Side Request Forgery: </w:t>
      </w:r>
      <w:r>
        <w:t xml:space="preserve">The domain-availability checker queries RDAP registries using hostnames that are hardcoded constants, not derived from user input. Only a strictly regex-validated domain label (no slashes, colons, or scheme characters permitted) is appended to the path — not exploitable.</w:t>
      </w:r>
    </w:p>
    <w:p>
      <w:pPr>
        <w:pStyle w:val="ListParagraph"/>
        <w:numPr>
          <w:ilvl w:val="0"/>
          <w:numId w:val="2"/>
        </w:numPr>
        <w:spacing w:after="100"/>
      </w:pPr>
      <w:r>
        <w:rPr>
          <w:b/>
          <w:bCs/>
        </w:rPr>
        <w:t xml:space="preserve">Sensitive Data Exposure: </w:t>
      </w:r>
      <w:r>
        <w:t xml:space="preserve">No hardcoded secrets were found anywhere in the source tree. The environment file containing the Resend API key is correctly excluded from version control. Every NEXT_PUBLIC_-prefixed environment variable found (NEXT_PUBLIC_BASE_URL) holds only the site’s own public URL, never a secret.</w:t>
      </w:r>
    </w:p>
    <w:p>
      <w:pPr>
        <w:pStyle w:val="ListParagraph"/>
        <w:numPr>
          <w:ilvl w:val="0"/>
          <w:numId w:val="2"/>
        </w:numPr>
        <w:spacing w:after="100"/>
      </w:pPr>
      <w:r>
        <w:rPr>
          <w:b/>
          <w:bCs/>
        </w:rPr>
        <w:t xml:space="preserve">Mass Assignment: </w:t>
      </w:r>
      <w:r>
        <w:t xml:space="preserve">The registration API route validates the presence of required top-level fields and then explicitly reconstructs the payload field-by-field; unexpected extra fields in a submitted JSON body are silently discarded rather than passed through.</w:t>
      </w:r>
    </w:p>
    <w:p>
      <w:pPr>
        <w:pStyle w:val="ListParagraph"/>
        <w:numPr>
          <w:ilvl w:val="0"/>
          <w:numId w:val="2"/>
        </w:numPr>
        <w:spacing w:after="100"/>
      </w:pPr>
      <w:r>
        <w:rPr>
          <w:b/>
          <w:bCs/>
        </w:rPr>
        <w:t xml:space="preserve">Open Redirect: </w:t>
      </w:r>
      <w:r>
        <w:t xml:space="preserve">The only client-side navigation found that uses a variable value redirects to a hardcoded, same-origin path with the value used only as a URL-encoded query parameter — not an open redirect.</w:t>
      </w:r>
    </w:p>
    <w:p>
      <w:pPr>
        <w:pStyle w:val="ListParagraph"/>
        <w:numPr>
          <w:ilvl w:val="0"/>
          <w:numId w:val="2"/>
        </w:numPr>
        <w:spacing w:after="100"/>
      </w:pPr>
      <w:r>
        <w:rPr>
          <w:b/>
          <w:bCs/>
        </w:rPr>
        <w:t xml:space="preserve">Information Disclosure: </w:t>
      </w:r>
      <w:r>
        <w:t xml:space="preserve">No API route has error handling that could leak a stack trace or internal path to the client; outgoing-email failures are logged server-side only and never re-thrown to the caller.</w:t>
      </w:r>
    </w:p>
    <w:p>
      <w:pPr>
        <w:pStyle w:val="ListParagraph"/>
        <w:numPr>
          <w:ilvl w:val="0"/>
          <w:numId w:val="2"/>
        </w:numPr>
        <w:spacing w:after="100"/>
      </w:pPr>
      <w:r>
        <w:rPr>
          <w:b/>
          <w:bCs/>
        </w:rPr>
        <w:t xml:space="preserve">Clickjacking: </w:t>
      </w:r>
      <w:r>
        <w:t xml:space="preserve">X-Frame-Options: SAMEORIGIN is set globally and was confirmed by the ZAP scan (Anti-clickjacking Header — PASS).</w:t>
      </w:r>
    </w:p>
    <w:p>
      <w:pPr>
        <w:pStyle w:val="Heading1"/>
      </w:pPr>
      <w:r>
        <w:t xml:space="preserve">5. Accepted Risk (Reviewed, Intentionally Unchanged)</w:t>
      </w:r>
    </w:p>
    <w:p>
      <w:pPr>
        <w:spacing w:after="160"/>
      </w:pPr>
      <w:r>
        <w:t xml:space="preserve">The following items were identified but deliberately left as-is. Each was weighed against real breakage risk or genuine complexity, and is documented here so the reasoning is preserved for future review.</w:t>
      </w:r>
    </w:p>
    <w:p>
      <w:pPr>
        <w:pStyle w:val="ListParagraph"/>
        <w:numPr>
          <w:ilvl w:val="0"/>
          <w:numId w:val="2"/>
        </w:numPr>
        <w:spacing w:after="100"/>
      </w:pPr>
      <w:r>
        <w:rPr>
          <w:b/>
          <w:bCs/>
        </w:rPr>
        <w:t xml:space="preserve">CSP includes script-src ‘unsafe-inline’: </w:t>
      </w:r>
      <w:r>
        <w:t xml:space="preserve">Next.js’s App Router injects inline hydration scripts without a nonce by default. Removing unsafe-inline requires a nonce-based CSP implemented via middleware, which adds real complexity and build risk for a mostly static marketing site with no external script tags and very little reflected user input. The policy still blocks loading scripts from third-party origins — the primary cross-site-scripting exfiltration vector — which is the meaningful protection this control provides.</w:t>
      </w:r>
    </w:p>
    <w:p>
      <w:pPr>
        <w:pStyle w:val="ListParagraph"/>
        <w:numPr>
          <w:ilvl w:val="0"/>
          <w:numId w:val="2"/>
        </w:numPr>
        <w:spacing w:after="100"/>
      </w:pPr>
      <w:r>
        <w:rPr>
          <w:b/>
          <w:bCs/>
        </w:rPr>
        <w:t xml:space="preserve">No CSRF token in the contact form: </w:t>
      </w:r>
      <w:r>
        <w:t xml:space="preserve">The application has no session- or cookie-based authentication anywhere, so classic CSRF (which relies on a victim’s ambient credentials) has low real impact: a forged cross-site submission can only post the form anonymously, exactly as any visitor could do directly. The Origin-header check described in Section 3 covers the cheap drive-by case. This should be revisited if authentication or sessions are ever introduced.</w:t>
      </w:r>
    </w:p>
    <w:p>
      <w:pPr>
        <w:pStyle w:val="ListParagraph"/>
        <w:numPr>
          <w:ilvl w:val="0"/>
          <w:numId w:val="2"/>
        </w:numPr>
        <w:spacing w:after="100"/>
      </w:pPr>
      <w:r>
        <w:rPr>
          <w:b/>
          <w:bCs/>
        </w:rPr>
        <w:t xml:space="preserve">No Cross-Origin-Embedder-Policy header: </w:t>
      </w:r>
      <w:r>
        <w:t xml:space="preserve">Enabling COEP in require-corp mode would very likely break the Google Maps iframe on the Contact page and the flagcdn.com flag images on the registration form, since neither third party is guaranteed to send a Cross-Origin-Resource-Policy header. Not worth the breakage risk for a site with no SharedArrayBuffer or cross-origin-isolation requirement.</w:t>
      </w:r>
    </w:p>
    <w:p>
      <w:pPr>
        <w:pStyle w:val="ListParagraph"/>
        <w:numPr>
          <w:ilvl w:val="0"/>
          <w:numId w:val="2"/>
        </w:numPr>
        <w:spacing w:after="100"/>
      </w:pPr>
      <w:r>
        <w:rPr>
          <w:b/>
          <w:bCs/>
        </w:rPr>
        <w:t xml:space="preserve">In-memory rate limiter: </w:t>
      </w:r>
      <w:r>
        <w:t xml:space="preserve">The current rate limiter resets on every serverless cold start and does not share state across concurrent function instances on Netlify — a limitation already acknowledged in the code’s own comments. It remains better than no rate limiting at all. Replacing it with a Redis- or Upstash-backed limiter introduces paid infrastructure and should be a deliberate decision, not a side effect of a security audit. Revisit if contact or registration form spam becomes a measurable problem.</w:t>
      </w:r>
    </w:p>
    <w:p>
      <w:pPr>
        <w:pStyle w:val="ListParagraph"/>
        <w:numPr>
          <w:ilvl w:val="0"/>
          <w:numId w:val="2"/>
        </w:numPr>
        <w:spacing w:after="100"/>
      </w:pPr>
      <w:r>
        <w:rPr>
          <w:b/>
          <w:bCs/>
        </w:rPr>
        <w:t xml:space="preserve">Postcss moderate advisory (nested dependency): </w:t>
      </w:r>
      <w:r>
        <w:t xml:space="preserve">As detailed in Section 3.1, the only available fix forces a seven-major-version downgrade of Next.js. Declined as disproportionate; will resolve naturally once Next.js updates its own bundled postcss.</w:t>
      </w:r>
    </w:p>
    <w:p>
      <w:pPr>
        <w:pStyle w:val="ListParagraph"/>
        <w:numPr>
          <w:ilvl w:val="0"/>
          <w:numId w:val="2"/>
        </w:numPr>
        <w:spacing w:after="100"/>
      </w:pPr>
      <w:r>
        <w:rPr>
          <w:b/>
          <w:bCs/>
        </w:rPr>
        <w:t xml:space="preserve">“User Controllable HTML Element Attribute” ZAP warning on /contact: </w:t>
      </w:r>
      <w:r>
        <w:t xml:space="preserve">False positive. This flags the Netlify Forms hidden form-name field, which is required by Netlify’s own static-form spam detection — not a real reflected-input sink.</w:t>
      </w:r>
    </w:p>
    <w:p>
      <w:pPr>
        <w:pStyle w:val="ListParagraph"/>
        <w:numPr>
          <w:ilvl w:val="0"/>
          <w:numId w:val="2"/>
        </w:numPr>
        <w:spacing w:after="100"/>
      </w:pPr>
      <w:r>
        <w:rPr>
          <w:b/>
          <w:bCs/>
        </w:rPr>
        <w:t xml:space="preserve">“Storable and Cacheable Content” ZAP warning: </w:t>
      </w:r>
      <w:r>
        <w:t xml:space="preserve">Intentional. These are public marketing pages containing no personal data or session-specific content; caching them is correct, desired behaviour, not a leak.</w:t>
      </w:r>
    </w:p>
    <w:p>
      <w:pPr>
        <w:pStyle w:val="Heading1"/>
      </w:pPr>
      <w:r>
        <w:t xml:space="preserve">6. Verification &amp; Sign-Off</w:t>
      </w:r>
    </w:p>
    <w:p>
      <w:pPr>
        <w:spacing w:after="160"/>
      </w:pPr>
      <w:r>
        <w:t xml:space="preserve">After applying all fixes in Section 3, the following verification steps were completed:</w:t>
      </w:r>
    </w:p>
    <w:p>
      <w:pPr>
        <w:pStyle w:val="ListParagraph"/>
        <w:numPr>
          <w:ilvl w:val="0"/>
          <w:numId w:val="2"/>
        </w:numPr>
        <w:spacing w:after="80"/>
      </w:pPr>
      <w:r>
        <w:t xml:space="preserve">Full production rebuild (next build) and TypeScript type-check completed with zero errors.</w:t>
      </w:r>
    </w:p>
    <w:p>
      <w:pPr>
        <w:pStyle w:val="ListParagraph"/>
        <w:numPr>
          <w:ilvl w:val="0"/>
          <w:numId w:val="2"/>
        </w:numPr>
        <w:spacing w:after="80"/>
      </w:pPr>
      <w:r>
        <w:t xml:space="preserve">All eight public pages (Home, About, Services, Contact, Register, Domain Checker, Privacy, Terms) loaded with zero browser console errors under the new Content-Security-Policy.</w:t>
      </w:r>
    </w:p>
    <w:p>
      <w:pPr>
        <w:pStyle w:val="ListParagraph"/>
        <w:numPr>
          <w:ilvl w:val="0"/>
          <w:numId w:val="2"/>
        </w:numPr>
        <w:spacing w:after="80"/>
      </w:pPr>
      <w:r>
        <w:t xml:space="preserve">The Google Maps iframe (Contact page) and flagcdn.com flag images (Registration form) were confirmed still rendering correctly under the new policy.</w:t>
      </w:r>
    </w:p>
    <w:p>
      <w:pPr>
        <w:pStyle w:val="ListParagraph"/>
        <w:numPr>
          <w:ilvl w:val="0"/>
          <w:numId w:val="2"/>
        </w:numPr>
        <w:spacing w:after="80"/>
      </w:pPr>
      <w:r>
        <w:t xml:space="preserve">End-to-end submission of both the Contact form and the Domain Checker form completed successfully (HTTP 200) with the new Origin-header check active, confirming legitimate same-origin requests are not blocked.</w:t>
      </w:r>
    </w:p>
    <w:p>
      <w:pPr>
        <w:pStyle w:val="ListParagraph"/>
        <w:numPr>
          <w:ilvl w:val="0"/>
          <w:numId w:val="2"/>
        </w:numPr>
        <w:spacing w:after="80"/>
      </w:pPr>
      <w:r>
        <w:t xml:space="preserve">A second OWASP ZAP baseline scan confirmed the improvement: 0 FAIL, 61 PASS, 6 WARN (down from 10), all six remaining warnings reviewed and documented in Section 5.</w:t>
      </w:r>
    </w:p>
    <w:p>
      <w:pPr>
        <w:pStyle w:val="ListParagraph"/>
        <w:numPr>
          <w:ilvl w:val="0"/>
          <w:numId w:val="2"/>
        </w:numPr>
        <w:spacing w:after="80"/>
      </w:pPr>
      <w:r>
        <w:t xml:space="preserve">Changes were deployed to the production environment and the live response headers were independently re-verified via direct HTTP request, confirming the Content-Security-Policy header is present and the X-Powered-By header is absent.</w:t>
      </w:r>
    </w:p>
    <w:p>
      <w:pPr>
        <w:spacing w:after="100" w:before="300"/>
      </w:pPr>
      <w:r>
        <w:rPr>
          <w:b/>
          <w:bCs/>
        </w:rPr>
        <w:t xml:space="preserve">Status: </w:t>
      </w:r>
      <w:r>
        <w:rPr>
          <w:b/>
          <w:bCs/>
          <w:color w:val="16A34A"/>
        </w:rPr>
        <w:t xml:space="preserve">All identified findings remediated and verified in production. No outstanding critical, high, or unaddressed medium-severity issues.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34155"/>
        <w:sz w:val="18"/>
        <w:szCs w:val="18"/>
      </w:rPr>
      <w:t xml:space="preserve">Page </w:t>
    </w:r>
    <w:r>
      <w:rPr>
        <w:color w:val="334155"/>
        <w:sz w:val="18"/>
        <w:szCs w:val="18"/>
      </w:rPr>
      <w:fldChar w:fldCharType="begin"/>
      <w:instrText xml:space="preserve">PAGE</w:instrText>
      <w:fldChar w:fldCharType="separate"/>
      <w:fldChar w:fldCharType="end"/>
    </w:r>
    <w:r>
      <w:rPr>
        <w:color w:val="334155"/>
        <w:sz w:val="18"/>
        <w:szCs w:val="18"/>
      </w:rPr>
      <w:t xml:space="preserve"> of </w:t>
    </w:r>
    <w:r>
      <w:rPr>
        <w:color w:val="3341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b/>
        <w:bCs/>
        <w:color w:val="1E3A8A"/>
        <w:sz w:val="18"/>
        <w:szCs w:val="18"/>
      </w:rPr>
      <w:t xml:space="preserve">IT-Guru Online</w:t>
    </w:r>
    <w:r>
      <w:rPr>
        <w:color w:val="334155"/>
        <w:sz w:val="18"/>
        <w:szCs w:val="18"/>
      </w:rPr>
      <w:t xml:space="preserve">	Security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3A8A" w:sz="6" w:space="4"/>
      </w:pBdr>
      <w:spacing w:after="200" w:before="360"/>
      <w:outlineLvl w:val="0"/>
    </w:pPr>
    <w:rPr>
      <w:rFonts w:ascii="Arial" w:cs="Arial" w:eastAsia="Arial" w:hAnsi="Arial"/>
      <w:b/>
      <w:bCs/>
      <w:color w:val="1E3A8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E3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2026-06-16T14:45:31.066Z</dcterms:created>
  <dcterms:modified xsi:type="dcterms:W3CDTF">2026-06-16T14:45:31.067Z</dcterms:modified>
</cp:coreProperties>
</file>

<file path=docProps/custom.xml><?xml version="1.0" encoding="utf-8"?>
<Properties xmlns="http://schemas.openxmlformats.org/officeDocument/2006/custom-properties" xmlns:vt="http://schemas.openxmlformats.org/officeDocument/2006/docPropsVTypes"/>
</file>