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D8E9C" w14:textId="77777777" w:rsidR="00424B52" w:rsidRDefault="00424B52" w:rsidP="00FA72A6">
      <w:pPr>
        <w:pStyle w:val="Title"/>
        <w:jc w:val="center"/>
      </w:pPr>
    </w:p>
    <w:p w14:paraId="5FD37010" w14:textId="77777777" w:rsidR="00424B52" w:rsidRDefault="00424B52" w:rsidP="00FA72A6">
      <w:pPr>
        <w:pStyle w:val="Title"/>
        <w:jc w:val="center"/>
      </w:pPr>
    </w:p>
    <w:p w14:paraId="1D51A216" w14:textId="77777777" w:rsidR="00424B52" w:rsidRDefault="00424B52" w:rsidP="00FA72A6">
      <w:pPr>
        <w:pStyle w:val="Title"/>
        <w:jc w:val="center"/>
      </w:pPr>
    </w:p>
    <w:p w14:paraId="7B9F528B" w14:textId="77777777" w:rsidR="00424B52" w:rsidRDefault="00424B52" w:rsidP="00FA72A6">
      <w:pPr>
        <w:pStyle w:val="Title"/>
        <w:jc w:val="center"/>
      </w:pPr>
    </w:p>
    <w:p w14:paraId="55CDD5C4" w14:textId="77777777" w:rsidR="00424B52" w:rsidRDefault="00424B52" w:rsidP="00FA72A6">
      <w:pPr>
        <w:pStyle w:val="Title"/>
        <w:jc w:val="center"/>
      </w:pPr>
    </w:p>
    <w:p w14:paraId="514B1E7A" w14:textId="40711D14" w:rsidR="006E5161" w:rsidRDefault="00CD41C0" w:rsidP="00FA72A6">
      <w:pPr>
        <w:pStyle w:val="Title"/>
        <w:jc w:val="center"/>
      </w:pPr>
      <w:r w:rsidRPr="005C77B1">
        <w:t>ORTHOPEDIC PATIENT CLASSIFICATION</w:t>
      </w:r>
      <w:r w:rsidRPr="005C77B1">
        <w:br/>
        <w:t>REPORT</w:t>
      </w:r>
    </w:p>
    <w:p w14:paraId="7C56D992" w14:textId="77777777" w:rsidR="00424B52" w:rsidRDefault="00424B52" w:rsidP="00FA72A6">
      <w:pPr>
        <w:jc w:val="center"/>
      </w:pPr>
    </w:p>
    <w:p w14:paraId="604F5BC4" w14:textId="77777777" w:rsidR="002B36FF" w:rsidRDefault="002B36FF" w:rsidP="00FA72A6">
      <w:pPr>
        <w:jc w:val="center"/>
      </w:pPr>
    </w:p>
    <w:p w14:paraId="36B45D6E" w14:textId="77777777" w:rsidR="008D105A" w:rsidRDefault="008D105A" w:rsidP="00FA72A6">
      <w:pPr>
        <w:jc w:val="center"/>
      </w:pPr>
    </w:p>
    <w:p w14:paraId="4AB54CE0" w14:textId="00B83ACC" w:rsidR="00424B52" w:rsidRDefault="00547810" w:rsidP="00FA72A6">
      <w:pPr>
        <w:pStyle w:val="Subtitle"/>
        <w:jc w:val="center"/>
      </w:pPr>
      <w:r>
        <w:t>PACE University</w:t>
      </w:r>
    </w:p>
    <w:p w14:paraId="421A7011" w14:textId="05214043" w:rsidR="00547810" w:rsidRDefault="00D62FB6" w:rsidP="00FA72A6">
      <w:pPr>
        <w:pStyle w:val="Subtitle"/>
        <w:jc w:val="center"/>
      </w:pPr>
      <w:r w:rsidRPr="00D62FB6">
        <w:t>Seidenberg School Of Computer Science and Information Systems</w:t>
      </w:r>
    </w:p>
    <w:p w14:paraId="29F33643" w14:textId="77777777" w:rsidR="002B36FF" w:rsidRDefault="00547810" w:rsidP="00FA72A6">
      <w:pPr>
        <w:pStyle w:val="Subtitle"/>
        <w:jc w:val="center"/>
      </w:pPr>
      <w:r>
        <w:t>CS627 – Artificial Intelligence</w:t>
      </w:r>
    </w:p>
    <w:p w14:paraId="1E2C1EBA" w14:textId="1BEB38EA" w:rsidR="00547810" w:rsidRDefault="001167D2" w:rsidP="00FA72A6">
      <w:pPr>
        <w:pStyle w:val="Subtitle"/>
        <w:jc w:val="center"/>
      </w:pPr>
      <w:r>
        <w:t>Spring 2025</w:t>
      </w:r>
    </w:p>
    <w:p w14:paraId="670E8B6E" w14:textId="687D3B79" w:rsidR="00547810" w:rsidRDefault="00A83B64" w:rsidP="00FA72A6">
      <w:pPr>
        <w:pStyle w:val="Subtitle"/>
        <w:jc w:val="center"/>
      </w:pPr>
      <w:r>
        <w:t xml:space="preserve">Professor </w:t>
      </w:r>
      <w:r w:rsidRPr="00A83B64">
        <w:t>Dr. Soheyla Amirian</w:t>
      </w:r>
    </w:p>
    <w:p w14:paraId="05E8BABE" w14:textId="77777777" w:rsidR="002B36FF" w:rsidRDefault="00A83B64" w:rsidP="00FA72A6">
      <w:pPr>
        <w:pStyle w:val="Subtitle"/>
        <w:jc w:val="center"/>
      </w:pPr>
      <w:r>
        <w:t>Student: Kien Chung</w:t>
      </w:r>
    </w:p>
    <w:p w14:paraId="06901739" w14:textId="4EED6FD9" w:rsidR="00A83B64" w:rsidRPr="00424B52" w:rsidRDefault="005653D1" w:rsidP="00FA72A6">
      <w:pPr>
        <w:pStyle w:val="Subtitle"/>
        <w:jc w:val="center"/>
      </w:pPr>
      <w:r>
        <w:t>U</w:t>
      </w:r>
      <w:r w:rsidRPr="005653D1">
        <w:t>ID: U01956429</w:t>
      </w:r>
    </w:p>
    <w:p w14:paraId="6087269D" w14:textId="77777777" w:rsidR="00224CAC" w:rsidRPr="00224CAC" w:rsidRDefault="00224CAC" w:rsidP="00224CAC"/>
    <w:p w14:paraId="24D9CD7D" w14:textId="77777777" w:rsidR="006E5161" w:rsidRDefault="006E5161">
      <w:pPr>
        <w:rPr>
          <w:rFonts w:asciiTheme="majorHAnsi" w:eastAsiaTheme="majorEastAsia" w:hAnsiTheme="majorHAnsi" w:cstheme="majorBidi"/>
          <w:color w:val="0F4761" w:themeColor="accent1" w:themeShade="BF"/>
          <w:sz w:val="40"/>
          <w:szCs w:val="40"/>
        </w:rPr>
      </w:pPr>
      <w:r>
        <w:br w:type="page"/>
      </w:r>
    </w:p>
    <w:p w14:paraId="6B1D2F02" w14:textId="3B436DD8" w:rsidR="00F04ECC" w:rsidRDefault="00E833E9" w:rsidP="00005C82">
      <w:pPr>
        <w:pStyle w:val="Heading1"/>
        <w:jc w:val="center"/>
      </w:pPr>
      <w:r w:rsidRPr="00F04ECC">
        <w:lastRenderedPageBreak/>
        <w:t>INTRODUCTION</w:t>
      </w:r>
    </w:p>
    <w:p w14:paraId="07B33043" w14:textId="00A3D2AE" w:rsidR="00D42AF5" w:rsidRDefault="00A653EC" w:rsidP="008D0F7A">
      <w:pPr>
        <w:pStyle w:val="Heading2"/>
        <w:spacing w:before="240"/>
      </w:pPr>
      <w:r>
        <w:t>OVERVIEW</w:t>
      </w:r>
    </w:p>
    <w:p w14:paraId="2AE9F96F" w14:textId="719D452B" w:rsidR="006007C8" w:rsidRDefault="006007C8" w:rsidP="008D0F7A">
      <w:pPr>
        <w:ind w:left="360"/>
      </w:pPr>
      <w:r w:rsidRPr="006007C8">
        <w:t xml:space="preserve">A machine learning model was developed to predict orthopedic patient conditions based on six biomechanical features of the pelvis and lumbar spine. The dataset underwent preprocessing and multiple </w:t>
      </w:r>
      <w:r w:rsidR="002B3CBB">
        <w:t xml:space="preserve">machine learning </w:t>
      </w:r>
      <w:r w:rsidRPr="006007C8">
        <w:t>models were evaluated to ensure accurate classification between normal and abnormal spinal conditions. This approach aims to support data-driven diagnosis and improve clinical decision-making.</w:t>
      </w:r>
    </w:p>
    <w:p w14:paraId="02AE3618" w14:textId="580E2D29" w:rsidR="008B6569" w:rsidRDefault="0055085D" w:rsidP="008D0F7A">
      <w:pPr>
        <w:ind w:left="360"/>
      </w:pPr>
      <w:r w:rsidRPr="0055085D">
        <w:t>Biomedical dataset</w:t>
      </w:r>
      <w:r w:rsidR="0063632D">
        <w:t xml:space="preserve"> was</w:t>
      </w:r>
      <w:r w:rsidRPr="0055085D">
        <w:t xml:space="preserve"> built by Dr. Henrique da Mota during a medical residence period in the Group of Applied Research in </w:t>
      </w:r>
      <w:r w:rsidR="009C6518" w:rsidRPr="009C6518">
        <w:t xml:space="preserve">Orthopaedics </w:t>
      </w:r>
      <w:r w:rsidRPr="0055085D">
        <w:t xml:space="preserve">(GARO) of the </w:t>
      </w:r>
      <w:r w:rsidR="009C3397" w:rsidRPr="009C3397">
        <w:t>Centre Médico-Chirurgical de Réadaptation des Massues</w:t>
      </w:r>
      <w:r w:rsidRPr="0055085D">
        <w:t>, Lyon, France.</w:t>
      </w:r>
      <w:r w:rsidR="008B6569">
        <w:t xml:space="preserve"> </w:t>
      </w:r>
    </w:p>
    <w:p w14:paraId="0A1F6993" w14:textId="77777777" w:rsidR="00833B26" w:rsidRDefault="00303C29" w:rsidP="008D0F7A">
      <w:pPr>
        <w:ind w:left="360"/>
      </w:pPr>
      <w:r>
        <w:t xml:space="preserve">Kaggle </w:t>
      </w:r>
      <w:r w:rsidR="00B36689">
        <w:t>Source</w:t>
      </w:r>
      <w:r w:rsidR="00833B26">
        <w:t xml:space="preserve">: </w:t>
      </w:r>
    </w:p>
    <w:p w14:paraId="5BC9DC26" w14:textId="59F63571" w:rsidR="00B36689" w:rsidRDefault="001E071C" w:rsidP="008D0F7A">
      <w:pPr>
        <w:ind w:left="360"/>
      </w:pPr>
      <w:hyperlink r:id="rId5" w:history="1">
        <w:r w:rsidRPr="00795238">
          <w:rPr>
            <w:rStyle w:val="Hyperlink"/>
          </w:rPr>
          <w:t>https://www.kaggle.com/datasets/uciml/biomechanical-features-of-orthopedic-patients</w:t>
        </w:r>
      </w:hyperlink>
    </w:p>
    <w:p w14:paraId="29FC226A" w14:textId="77777777" w:rsidR="00833B26" w:rsidRDefault="00F56F80" w:rsidP="008D0F7A">
      <w:pPr>
        <w:ind w:left="360"/>
      </w:pPr>
      <w:r>
        <w:t xml:space="preserve">Original Source </w:t>
      </w:r>
      <w:r w:rsidR="0076001E">
        <w:t>–</w:t>
      </w:r>
      <w:r>
        <w:t xml:space="preserve"> </w:t>
      </w:r>
      <w:r w:rsidR="0076001E">
        <w:t>UC Irvine Machine Learning Repository</w:t>
      </w:r>
      <w:r w:rsidR="00041EBB">
        <w:t>:</w:t>
      </w:r>
      <w:r w:rsidR="00833B26">
        <w:t xml:space="preserve"> </w:t>
      </w:r>
    </w:p>
    <w:p w14:paraId="5C865225" w14:textId="24C0D299" w:rsidR="0076001E" w:rsidRDefault="00833B26" w:rsidP="008D0F7A">
      <w:pPr>
        <w:ind w:left="360"/>
      </w:pPr>
      <w:hyperlink r:id="rId6" w:history="1">
        <w:r w:rsidRPr="00795238">
          <w:rPr>
            <w:rStyle w:val="Hyperlink"/>
          </w:rPr>
          <w:t>https://archive.ics.uci.edu/dataset/212/vertebral+column</w:t>
        </w:r>
      </w:hyperlink>
    </w:p>
    <w:p w14:paraId="42B7A475" w14:textId="05211261" w:rsidR="00A653EC" w:rsidRDefault="00A653EC" w:rsidP="008D0F7A">
      <w:pPr>
        <w:pStyle w:val="Heading2"/>
        <w:spacing w:before="240"/>
      </w:pPr>
      <w:r>
        <w:t>OBJECTIVES</w:t>
      </w:r>
    </w:p>
    <w:p w14:paraId="521EBFD4" w14:textId="77777777" w:rsidR="00B36689" w:rsidRDefault="00B36689" w:rsidP="008D0F7A">
      <w:pPr>
        <w:ind w:left="360"/>
      </w:pPr>
      <w:r w:rsidRPr="0055085D">
        <w:t>The data have been organized in two different but related classification tasks.</w:t>
      </w:r>
      <w:r>
        <w:t xml:space="preserve"> </w:t>
      </w:r>
    </w:p>
    <w:p w14:paraId="00B21C75" w14:textId="523B2B34" w:rsidR="00B36689" w:rsidRDefault="00B36689" w:rsidP="008D0F7A">
      <w:pPr>
        <w:pStyle w:val="ListParagraph"/>
        <w:numPr>
          <w:ilvl w:val="0"/>
          <w:numId w:val="13"/>
        </w:numPr>
        <w:ind w:left="720"/>
      </w:pPr>
      <w:r w:rsidRPr="0055085D">
        <w:t xml:space="preserve">The first task consists in classifying patients as belonging to one out of three categories: </w:t>
      </w:r>
      <w:r w:rsidR="0007522B">
        <w:t>‘</w:t>
      </w:r>
      <w:r w:rsidRPr="0055085D">
        <w:t>Normal</w:t>
      </w:r>
      <w:r w:rsidR="0007522B">
        <w:t>’</w:t>
      </w:r>
      <w:r w:rsidR="004E415A">
        <w:t xml:space="preserve">, </w:t>
      </w:r>
      <w:r w:rsidR="0007522B">
        <w:t>‘Herniated Disc’</w:t>
      </w:r>
      <w:r w:rsidR="004E415A">
        <w:t xml:space="preserve">, </w:t>
      </w:r>
      <w:r w:rsidRPr="0055085D">
        <w:t xml:space="preserve">or </w:t>
      </w:r>
      <w:r w:rsidR="0007522B">
        <w:t>‘</w:t>
      </w:r>
      <w:r w:rsidRPr="0055085D">
        <w:t>Spondylolisthesis</w:t>
      </w:r>
      <w:r w:rsidR="0007522B">
        <w:t>’</w:t>
      </w:r>
      <w:r w:rsidR="004E415A">
        <w:t>.</w:t>
      </w:r>
      <w:r w:rsidRPr="0055085D">
        <w:t xml:space="preserve"> </w:t>
      </w:r>
    </w:p>
    <w:p w14:paraId="0E0E3548" w14:textId="47F0E075" w:rsidR="00B36689" w:rsidRPr="00B36689" w:rsidRDefault="00B36689" w:rsidP="008D0F7A">
      <w:pPr>
        <w:pStyle w:val="ListParagraph"/>
        <w:numPr>
          <w:ilvl w:val="0"/>
          <w:numId w:val="13"/>
        </w:numPr>
        <w:ind w:left="720"/>
      </w:pPr>
      <w:r w:rsidRPr="0055085D">
        <w:t xml:space="preserve">For the second task, the categories </w:t>
      </w:r>
      <w:r w:rsidR="0007522B">
        <w:t>Herniated Disc</w:t>
      </w:r>
      <w:r w:rsidR="0007522B" w:rsidRPr="0055085D">
        <w:t xml:space="preserve"> </w:t>
      </w:r>
      <w:r w:rsidRPr="0055085D">
        <w:t>and Spondylolisthesis were merged into a single category labelled as '</w:t>
      </w:r>
      <w:r w:rsidR="0007522B">
        <w:t>A</w:t>
      </w:r>
      <w:r w:rsidRPr="0055085D">
        <w:t>bnormal'.</w:t>
      </w:r>
      <w:r w:rsidR="0063632D">
        <w:t xml:space="preserve"> </w:t>
      </w:r>
      <w:r w:rsidRPr="0055085D">
        <w:t xml:space="preserve">Thus, the second task consists in classifying patients as belonging to one out of two categories: </w:t>
      </w:r>
      <w:r w:rsidR="0007522B">
        <w:t>‘</w:t>
      </w:r>
      <w:r w:rsidRPr="0055085D">
        <w:t>Normal</w:t>
      </w:r>
      <w:r w:rsidR="0007522B">
        <w:t>’</w:t>
      </w:r>
      <w:r w:rsidRPr="0055085D">
        <w:t xml:space="preserve"> or </w:t>
      </w:r>
      <w:r w:rsidR="0007522B">
        <w:t>‘</w:t>
      </w:r>
      <w:r w:rsidRPr="0055085D">
        <w:t>Abnormal</w:t>
      </w:r>
      <w:r w:rsidR="0007522B">
        <w:t>’</w:t>
      </w:r>
      <w:r w:rsidRPr="0055085D">
        <w:t>.</w:t>
      </w:r>
    </w:p>
    <w:p w14:paraId="3E120934" w14:textId="75B14375" w:rsidR="00A653EC" w:rsidRDefault="00A653EC" w:rsidP="008D0F7A">
      <w:pPr>
        <w:pStyle w:val="Heading2"/>
        <w:spacing w:before="240"/>
      </w:pPr>
      <w:r>
        <w:t>REQUIREMENTS</w:t>
      </w:r>
    </w:p>
    <w:p w14:paraId="413B2DBA" w14:textId="28474C0C" w:rsidR="00EC4352" w:rsidRDefault="00EC4352" w:rsidP="008D0F7A">
      <w:pPr>
        <w:ind w:left="360"/>
      </w:pPr>
      <w:r>
        <w:t>Python IDE</w:t>
      </w:r>
    </w:p>
    <w:p w14:paraId="7404304B" w14:textId="5F404F9D" w:rsidR="00D80D06" w:rsidRDefault="00852BC0" w:rsidP="008D0F7A">
      <w:pPr>
        <w:ind w:left="360"/>
      </w:pPr>
      <w:r>
        <w:t xml:space="preserve">Python </w:t>
      </w:r>
      <w:r w:rsidR="00960D0D">
        <w:t xml:space="preserve">libraries &amp; packages: </w:t>
      </w:r>
    </w:p>
    <w:p w14:paraId="46A418A7" w14:textId="7FA71A0F" w:rsidR="00981E81" w:rsidRDefault="00981E81" w:rsidP="008D0F7A">
      <w:pPr>
        <w:pStyle w:val="ListParagraph"/>
        <w:numPr>
          <w:ilvl w:val="0"/>
          <w:numId w:val="14"/>
        </w:numPr>
        <w:ind w:left="720"/>
      </w:pPr>
      <w:r>
        <w:t>p</w:t>
      </w:r>
      <w:r w:rsidR="00852BC0">
        <w:t>andas</w:t>
      </w:r>
    </w:p>
    <w:p w14:paraId="56C8E82D" w14:textId="74A70628" w:rsidR="00B31F64" w:rsidRDefault="00852BC0" w:rsidP="008D0F7A">
      <w:pPr>
        <w:pStyle w:val="ListParagraph"/>
        <w:numPr>
          <w:ilvl w:val="0"/>
          <w:numId w:val="14"/>
        </w:numPr>
        <w:ind w:left="720"/>
      </w:pPr>
      <w:r>
        <w:t>numpy</w:t>
      </w:r>
    </w:p>
    <w:p w14:paraId="728D401E" w14:textId="77777777" w:rsidR="00981E81" w:rsidRDefault="00852BC0" w:rsidP="008D0F7A">
      <w:pPr>
        <w:pStyle w:val="ListParagraph"/>
        <w:numPr>
          <w:ilvl w:val="0"/>
          <w:numId w:val="14"/>
        </w:numPr>
        <w:ind w:left="720"/>
      </w:pPr>
      <w:r>
        <w:t>matplotlib</w:t>
      </w:r>
    </w:p>
    <w:p w14:paraId="762C92D7" w14:textId="338E3B7F" w:rsidR="00B31F64" w:rsidRDefault="00852BC0" w:rsidP="008D0F7A">
      <w:pPr>
        <w:pStyle w:val="ListParagraph"/>
        <w:numPr>
          <w:ilvl w:val="0"/>
          <w:numId w:val="14"/>
        </w:numPr>
        <w:ind w:left="720"/>
      </w:pPr>
      <w:r>
        <w:t>seaborn</w:t>
      </w:r>
    </w:p>
    <w:p w14:paraId="20BE2A9F" w14:textId="4CD08289" w:rsidR="002149AB" w:rsidRPr="00D81CD5" w:rsidRDefault="00852BC0" w:rsidP="008D0F7A">
      <w:pPr>
        <w:pStyle w:val="ListParagraph"/>
        <w:numPr>
          <w:ilvl w:val="0"/>
          <w:numId w:val="14"/>
        </w:numPr>
        <w:ind w:left="720"/>
      </w:pPr>
      <w:r>
        <w:t>scikit-learn</w:t>
      </w:r>
    </w:p>
    <w:p w14:paraId="5B6318BD" w14:textId="77777777" w:rsidR="00654BA0" w:rsidRDefault="00654BA0">
      <w:pPr>
        <w:rPr>
          <w:rFonts w:asciiTheme="majorHAnsi" w:eastAsiaTheme="majorEastAsia" w:hAnsiTheme="majorHAnsi" w:cstheme="majorBidi"/>
          <w:color w:val="0F4761" w:themeColor="accent1" w:themeShade="BF"/>
          <w:sz w:val="40"/>
          <w:szCs w:val="40"/>
        </w:rPr>
      </w:pPr>
      <w:r>
        <w:br w:type="page"/>
      </w:r>
    </w:p>
    <w:p w14:paraId="6B8C6B4A" w14:textId="691EBDC5" w:rsidR="00D76FCE" w:rsidRDefault="00D76FCE" w:rsidP="00005C82">
      <w:pPr>
        <w:pStyle w:val="Heading1"/>
        <w:jc w:val="center"/>
      </w:pPr>
      <w:r w:rsidRPr="00F04ECC">
        <w:lastRenderedPageBreak/>
        <w:t>DATASETS</w:t>
      </w:r>
    </w:p>
    <w:p w14:paraId="0D8F507C" w14:textId="1E4EDB32" w:rsidR="000A4D56" w:rsidRPr="000A4D56" w:rsidRDefault="000A4D56" w:rsidP="008D0F7A">
      <w:pPr>
        <w:pStyle w:val="Heading2"/>
        <w:spacing w:before="240"/>
      </w:pPr>
      <w:r>
        <w:t>DATAFRAMES</w:t>
      </w:r>
    </w:p>
    <w:p w14:paraId="0A615AD4" w14:textId="79604794" w:rsidR="009A7C7A" w:rsidRDefault="00B25679" w:rsidP="008D0F7A">
      <w:pPr>
        <w:ind w:left="360"/>
      </w:pPr>
      <w:r>
        <w:t>“</w:t>
      </w:r>
      <w:r w:rsidRPr="00B9761F">
        <w:rPr>
          <w:b/>
          <w:bCs/>
          <w:u w:val="single"/>
        </w:rPr>
        <w:t>df_2C.csv</w:t>
      </w:r>
      <w:r>
        <w:t>”: has</w:t>
      </w:r>
      <w:r w:rsidR="00DE74E3">
        <w:t xml:space="preserve"> 2 classes </w:t>
      </w:r>
      <w:r w:rsidR="009273F0">
        <w:t>‘Normal’ and ‘Abnormal</w:t>
      </w:r>
      <w:r>
        <w:t>’.</w:t>
      </w:r>
    </w:p>
    <w:p w14:paraId="28DA9D65" w14:textId="67435CB6" w:rsidR="009273F0" w:rsidRDefault="00B25679" w:rsidP="008D0F7A">
      <w:pPr>
        <w:ind w:left="360"/>
      </w:pPr>
      <w:r>
        <w:t>“</w:t>
      </w:r>
      <w:r w:rsidRPr="00B9761F">
        <w:rPr>
          <w:b/>
          <w:bCs/>
          <w:u w:val="single"/>
        </w:rPr>
        <w:t>df_3C.csv</w:t>
      </w:r>
      <w:r>
        <w:t>”: has</w:t>
      </w:r>
      <w:r w:rsidR="009273F0">
        <w:t xml:space="preserve"> 3 classes ‘Normal’, ‘</w:t>
      </w:r>
      <w:r w:rsidR="000A322B">
        <w:t>Hernia’, and ‘Spondy</w:t>
      </w:r>
      <w:r w:rsidR="00985747">
        <w:t>lolisthesis</w:t>
      </w:r>
      <w:r w:rsidR="000A322B">
        <w:t>’</w:t>
      </w:r>
      <w:r>
        <w:t>.</w:t>
      </w:r>
    </w:p>
    <w:p w14:paraId="65E411A5" w14:textId="5B0CAA69" w:rsidR="00EB04CF" w:rsidRPr="00EB04CF" w:rsidRDefault="000A4D56" w:rsidP="008D0F7A">
      <w:pPr>
        <w:pStyle w:val="Heading2"/>
        <w:spacing w:before="240"/>
      </w:pPr>
      <w:r>
        <w:t>STRUCTURES</w:t>
      </w:r>
    </w:p>
    <w:tbl>
      <w:tblPr>
        <w:tblStyle w:val="TableGrid"/>
        <w:tblW w:w="0" w:type="auto"/>
        <w:tblInd w:w="355" w:type="dxa"/>
        <w:tblLayout w:type="fixed"/>
        <w:tblLook w:val="04A0" w:firstRow="1" w:lastRow="0" w:firstColumn="1" w:lastColumn="0" w:noHBand="0" w:noVBand="1"/>
      </w:tblPr>
      <w:tblGrid>
        <w:gridCol w:w="3510"/>
        <w:gridCol w:w="1440"/>
        <w:gridCol w:w="360"/>
        <w:gridCol w:w="3074"/>
        <w:gridCol w:w="2051"/>
      </w:tblGrid>
      <w:tr w:rsidR="00A10516" w14:paraId="5274C89D" w14:textId="77777777" w:rsidTr="002F7587">
        <w:tc>
          <w:tcPr>
            <w:tcW w:w="4950" w:type="dxa"/>
            <w:gridSpan w:val="2"/>
            <w:tcBorders>
              <w:right w:val="single" w:sz="4" w:space="0" w:color="auto"/>
            </w:tcBorders>
            <w:vAlign w:val="center"/>
          </w:tcPr>
          <w:p w14:paraId="15DAB8D9" w14:textId="7A1188DD" w:rsidR="00A10516" w:rsidRPr="00224CAC" w:rsidRDefault="00A10516" w:rsidP="00192BBD">
            <w:pPr>
              <w:jc w:val="center"/>
              <w:rPr>
                <w:b/>
                <w:bCs/>
              </w:rPr>
            </w:pPr>
            <w:r w:rsidRPr="00224CAC">
              <w:rPr>
                <w:b/>
                <w:bCs/>
              </w:rPr>
              <w:t>df_2C.csv</w:t>
            </w:r>
          </w:p>
        </w:tc>
        <w:tc>
          <w:tcPr>
            <w:tcW w:w="360" w:type="dxa"/>
            <w:tcBorders>
              <w:top w:val="nil"/>
              <w:left w:val="single" w:sz="4" w:space="0" w:color="auto"/>
              <w:bottom w:val="nil"/>
              <w:right w:val="single" w:sz="4" w:space="0" w:color="auto"/>
            </w:tcBorders>
          </w:tcPr>
          <w:p w14:paraId="16DB8F28" w14:textId="77777777" w:rsidR="00A10516" w:rsidRPr="00224CAC" w:rsidRDefault="00A10516" w:rsidP="00192BBD">
            <w:pPr>
              <w:jc w:val="center"/>
              <w:rPr>
                <w:b/>
                <w:bCs/>
              </w:rPr>
            </w:pPr>
          </w:p>
        </w:tc>
        <w:tc>
          <w:tcPr>
            <w:tcW w:w="5125" w:type="dxa"/>
            <w:gridSpan w:val="2"/>
            <w:tcBorders>
              <w:left w:val="single" w:sz="4" w:space="0" w:color="auto"/>
            </w:tcBorders>
            <w:vAlign w:val="center"/>
          </w:tcPr>
          <w:p w14:paraId="1DCCBCD4" w14:textId="61E48552" w:rsidR="00A10516" w:rsidRPr="00224CAC" w:rsidRDefault="00A10516" w:rsidP="00192BBD">
            <w:pPr>
              <w:jc w:val="center"/>
              <w:rPr>
                <w:b/>
                <w:bCs/>
              </w:rPr>
            </w:pPr>
            <w:r w:rsidRPr="00224CAC">
              <w:rPr>
                <w:b/>
                <w:bCs/>
              </w:rPr>
              <w:t>df_3C.csv</w:t>
            </w:r>
          </w:p>
        </w:tc>
      </w:tr>
      <w:tr w:rsidR="00A10516" w14:paraId="00410BDE" w14:textId="77777777" w:rsidTr="002F7587">
        <w:tc>
          <w:tcPr>
            <w:tcW w:w="3510" w:type="dxa"/>
            <w:vAlign w:val="center"/>
          </w:tcPr>
          <w:p w14:paraId="65411755" w14:textId="0C2FBFA7" w:rsidR="00A10516" w:rsidRDefault="00A10516" w:rsidP="00192BBD">
            <w:pPr>
              <w:jc w:val="center"/>
            </w:pPr>
            <w:r>
              <w:t>X</w:t>
            </w:r>
          </w:p>
        </w:tc>
        <w:tc>
          <w:tcPr>
            <w:tcW w:w="1440" w:type="dxa"/>
            <w:tcBorders>
              <w:right w:val="single" w:sz="4" w:space="0" w:color="auto"/>
            </w:tcBorders>
            <w:vAlign w:val="center"/>
          </w:tcPr>
          <w:p w14:paraId="0D291217" w14:textId="14BDC195" w:rsidR="00A10516" w:rsidRDefault="00A10516" w:rsidP="00192BBD">
            <w:pPr>
              <w:jc w:val="center"/>
            </w:pPr>
            <w:r>
              <w:t>Y</w:t>
            </w:r>
          </w:p>
        </w:tc>
        <w:tc>
          <w:tcPr>
            <w:tcW w:w="360" w:type="dxa"/>
            <w:tcBorders>
              <w:top w:val="nil"/>
              <w:left w:val="single" w:sz="4" w:space="0" w:color="auto"/>
              <w:bottom w:val="nil"/>
              <w:right w:val="single" w:sz="4" w:space="0" w:color="auto"/>
            </w:tcBorders>
          </w:tcPr>
          <w:p w14:paraId="730A903B" w14:textId="77777777" w:rsidR="00A10516" w:rsidRDefault="00A10516" w:rsidP="00192BBD">
            <w:pPr>
              <w:jc w:val="center"/>
            </w:pPr>
          </w:p>
        </w:tc>
        <w:tc>
          <w:tcPr>
            <w:tcW w:w="3074" w:type="dxa"/>
            <w:tcBorders>
              <w:left w:val="single" w:sz="4" w:space="0" w:color="auto"/>
            </w:tcBorders>
            <w:vAlign w:val="center"/>
          </w:tcPr>
          <w:p w14:paraId="7BA7B9A5" w14:textId="5F30ED40" w:rsidR="00A10516" w:rsidRDefault="00A10516" w:rsidP="00192BBD">
            <w:pPr>
              <w:jc w:val="center"/>
            </w:pPr>
            <w:r>
              <w:t>X</w:t>
            </w:r>
          </w:p>
        </w:tc>
        <w:tc>
          <w:tcPr>
            <w:tcW w:w="2051" w:type="dxa"/>
            <w:vAlign w:val="center"/>
          </w:tcPr>
          <w:p w14:paraId="6C89DF1B" w14:textId="4EB83756" w:rsidR="00A10516" w:rsidRDefault="00A10516" w:rsidP="00192BBD">
            <w:pPr>
              <w:jc w:val="center"/>
            </w:pPr>
            <w:r>
              <w:t>Y</w:t>
            </w:r>
          </w:p>
        </w:tc>
      </w:tr>
      <w:tr w:rsidR="00A10516" w14:paraId="32505717" w14:textId="77777777" w:rsidTr="002F7587">
        <w:tc>
          <w:tcPr>
            <w:tcW w:w="3510" w:type="dxa"/>
            <w:vAlign w:val="center"/>
          </w:tcPr>
          <w:p w14:paraId="5A70FD44" w14:textId="534EC007" w:rsidR="00A10516" w:rsidRDefault="00A10516" w:rsidP="00192BBD">
            <w:pPr>
              <w:jc w:val="center"/>
            </w:pPr>
            <w:r>
              <w:t>Pelvic Incidence</w:t>
            </w:r>
          </w:p>
        </w:tc>
        <w:tc>
          <w:tcPr>
            <w:tcW w:w="1440" w:type="dxa"/>
            <w:vMerge w:val="restart"/>
            <w:tcBorders>
              <w:right w:val="single" w:sz="4" w:space="0" w:color="auto"/>
            </w:tcBorders>
            <w:vAlign w:val="center"/>
          </w:tcPr>
          <w:p w14:paraId="3BB10DB2" w14:textId="7E856E2C" w:rsidR="00A10516" w:rsidRDefault="00A10516" w:rsidP="00192BBD">
            <w:pPr>
              <w:jc w:val="center"/>
            </w:pPr>
            <w:r>
              <w:t>Normal</w:t>
            </w:r>
            <w:r>
              <w:br/>
              <w:t>Abnormal</w:t>
            </w:r>
          </w:p>
        </w:tc>
        <w:tc>
          <w:tcPr>
            <w:tcW w:w="360" w:type="dxa"/>
            <w:tcBorders>
              <w:top w:val="nil"/>
              <w:left w:val="single" w:sz="4" w:space="0" w:color="auto"/>
              <w:bottom w:val="nil"/>
              <w:right w:val="single" w:sz="4" w:space="0" w:color="auto"/>
            </w:tcBorders>
          </w:tcPr>
          <w:p w14:paraId="5F66289A" w14:textId="77777777" w:rsidR="00A10516" w:rsidRDefault="00A10516" w:rsidP="00192BBD">
            <w:pPr>
              <w:jc w:val="center"/>
            </w:pPr>
          </w:p>
        </w:tc>
        <w:tc>
          <w:tcPr>
            <w:tcW w:w="3074" w:type="dxa"/>
            <w:tcBorders>
              <w:left w:val="single" w:sz="4" w:space="0" w:color="auto"/>
            </w:tcBorders>
            <w:vAlign w:val="center"/>
          </w:tcPr>
          <w:p w14:paraId="12672E6C" w14:textId="44AA96C0" w:rsidR="00A10516" w:rsidRDefault="00A10516" w:rsidP="00192BBD">
            <w:pPr>
              <w:jc w:val="center"/>
            </w:pPr>
            <w:r>
              <w:t>Pelvic Incidence</w:t>
            </w:r>
          </w:p>
        </w:tc>
        <w:tc>
          <w:tcPr>
            <w:tcW w:w="2051" w:type="dxa"/>
            <w:vMerge w:val="restart"/>
            <w:vAlign w:val="center"/>
          </w:tcPr>
          <w:p w14:paraId="1DC1223E" w14:textId="2501858A" w:rsidR="00A10516" w:rsidRDefault="00A10516" w:rsidP="00192BBD">
            <w:pPr>
              <w:jc w:val="center"/>
            </w:pPr>
            <w:r>
              <w:t>Normal</w:t>
            </w:r>
          </w:p>
          <w:p w14:paraId="1480011A" w14:textId="53EFF220" w:rsidR="00A10516" w:rsidRDefault="00A10516" w:rsidP="00192BBD">
            <w:pPr>
              <w:jc w:val="center"/>
            </w:pPr>
            <w:r>
              <w:t>Hernia</w:t>
            </w:r>
          </w:p>
          <w:p w14:paraId="1B6CA706" w14:textId="4062DD07" w:rsidR="00A10516" w:rsidRDefault="00A10516" w:rsidP="00192BBD">
            <w:pPr>
              <w:jc w:val="center"/>
            </w:pPr>
            <w:r>
              <w:t>Spondylolisthesis</w:t>
            </w:r>
          </w:p>
        </w:tc>
      </w:tr>
      <w:tr w:rsidR="00A10516" w14:paraId="488B2F85" w14:textId="77777777" w:rsidTr="002F7587">
        <w:tc>
          <w:tcPr>
            <w:tcW w:w="3510" w:type="dxa"/>
            <w:vAlign w:val="center"/>
          </w:tcPr>
          <w:p w14:paraId="4F29D2E3" w14:textId="00C6DFC5" w:rsidR="00A10516" w:rsidRDefault="00A10516" w:rsidP="00192BBD">
            <w:pPr>
              <w:jc w:val="center"/>
            </w:pPr>
            <w:r>
              <w:t>Pelvic Tilt</w:t>
            </w:r>
          </w:p>
        </w:tc>
        <w:tc>
          <w:tcPr>
            <w:tcW w:w="1440" w:type="dxa"/>
            <w:vMerge/>
            <w:tcBorders>
              <w:right w:val="single" w:sz="4" w:space="0" w:color="auto"/>
            </w:tcBorders>
            <w:vAlign w:val="center"/>
          </w:tcPr>
          <w:p w14:paraId="128C3DE3" w14:textId="77777777" w:rsidR="00A10516" w:rsidRDefault="00A10516" w:rsidP="00192BBD">
            <w:pPr>
              <w:jc w:val="center"/>
            </w:pPr>
          </w:p>
        </w:tc>
        <w:tc>
          <w:tcPr>
            <w:tcW w:w="360" w:type="dxa"/>
            <w:tcBorders>
              <w:top w:val="nil"/>
              <w:left w:val="single" w:sz="4" w:space="0" w:color="auto"/>
              <w:bottom w:val="nil"/>
              <w:right w:val="single" w:sz="4" w:space="0" w:color="auto"/>
            </w:tcBorders>
          </w:tcPr>
          <w:p w14:paraId="0D55E34C" w14:textId="77777777" w:rsidR="00A10516" w:rsidRDefault="00A10516" w:rsidP="00192BBD">
            <w:pPr>
              <w:jc w:val="center"/>
            </w:pPr>
          </w:p>
        </w:tc>
        <w:tc>
          <w:tcPr>
            <w:tcW w:w="3074" w:type="dxa"/>
            <w:tcBorders>
              <w:left w:val="single" w:sz="4" w:space="0" w:color="auto"/>
            </w:tcBorders>
            <w:vAlign w:val="center"/>
          </w:tcPr>
          <w:p w14:paraId="292EE4C3" w14:textId="5690D55B" w:rsidR="00A10516" w:rsidRDefault="00A10516" w:rsidP="00192BBD">
            <w:pPr>
              <w:jc w:val="center"/>
            </w:pPr>
            <w:r>
              <w:t>Pelvic Tilt</w:t>
            </w:r>
          </w:p>
        </w:tc>
        <w:tc>
          <w:tcPr>
            <w:tcW w:w="2051" w:type="dxa"/>
            <w:vMerge/>
            <w:vAlign w:val="center"/>
          </w:tcPr>
          <w:p w14:paraId="070AE8A1" w14:textId="77777777" w:rsidR="00A10516" w:rsidRDefault="00A10516" w:rsidP="00192BBD">
            <w:pPr>
              <w:jc w:val="center"/>
            </w:pPr>
          </w:p>
        </w:tc>
      </w:tr>
      <w:tr w:rsidR="00A10516" w14:paraId="37D27341" w14:textId="77777777" w:rsidTr="002F7587">
        <w:tc>
          <w:tcPr>
            <w:tcW w:w="3510" w:type="dxa"/>
            <w:vAlign w:val="center"/>
          </w:tcPr>
          <w:p w14:paraId="1EAAE2A7" w14:textId="0B226D1A" w:rsidR="00A10516" w:rsidRDefault="00A10516" w:rsidP="00192BBD">
            <w:pPr>
              <w:jc w:val="center"/>
            </w:pPr>
            <w:r>
              <w:t>Lumbar Lordosis Angle</w:t>
            </w:r>
          </w:p>
        </w:tc>
        <w:tc>
          <w:tcPr>
            <w:tcW w:w="1440" w:type="dxa"/>
            <w:vMerge/>
            <w:tcBorders>
              <w:right w:val="single" w:sz="4" w:space="0" w:color="auto"/>
            </w:tcBorders>
            <w:vAlign w:val="center"/>
          </w:tcPr>
          <w:p w14:paraId="1CC5D246" w14:textId="77777777" w:rsidR="00A10516" w:rsidRDefault="00A10516" w:rsidP="00192BBD">
            <w:pPr>
              <w:jc w:val="center"/>
            </w:pPr>
          </w:p>
        </w:tc>
        <w:tc>
          <w:tcPr>
            <w:tcW w:w="360" w:type="dxa"/>
            <w:tcBorders>
              <w:top w:val="nil"/>
              <w:left w:val="single" w:sz="4" w:space="0" w:color="auto"/>
              <w:bottom w:val="nil"/>
              <w:right w:val="single" w:sz="4" w:space="0" w:color="auto"/>
            </w:tcBorders>
          </w:tcPr>
          <w:p w14:paraId="2CB2940A" w14:textId="77777777" w:rsidR="00A10516" w:rsidRDefault="00A10516" w:rsidP="00192BBD">
            <w:pPr>
              <w:jc w:val="center"/>
            </w:pPr>
          </w:p>
        </w:tc>
        <w:tc>
          <w:tcPr>
            <w:tcW w:w="3074" w:type="dxa"/>
            <w:tcBorders>
              <w:left w:val="single" w:sz="4" w:space="0" w:color="auto"/>
            </w:tcBorders>
            <w:vAlign w:val="center"/>
          </w:tcPr>
          <w:p w14:paraId="6C208458" w14:textId="483ECFB1" w:rsidR="00A10516" w:rsidRDefault="00A10516" w:rsidP="00192BBD">
            <w:pPr>
              <w:jc w:val="center"/>
            </w:pPr>
            <w:r>
              <w:t>Lumbar Lordosis Angle</w:t>
            </w:r>
          </w:p>
        </w:tc>
        <w:tc>
          <w:tcPr>
            <w:tcW w:w="2051" w:type="dxa"/>
            <w:vMerge/>
            <w:vAlign w:val="center"/>
          </w:tcPr>
          <w:p w14:paraId="368217A9" w14:textId="77777777" w:rsidR="00A10516" w:rsidRDefault="00A10516" w:rsidP="00192BBD">
            <w:pPr>
              <w:jc w:val="center"/>
            </w:pPr>
          </w:p>
        </w:tc>
      </w:tr>
      <w:tr w:rsidR="00A10516" w14:paraId="4C3EF6BF" w14:textId="77777777" w:rsidTr="002F7587">
        <w:tc>
          <w:tcPr>
            <w:tcW w:w="3510" w:type="dxa"/>
            <w:vAlign w:val="center"/>
          </w:tcPr>
          <w:p w14:paraId="1F9C5BAF" w14:textId="65821533" w:rsidR="00A10516" w:rsidRDefault="00A10516" w:rsidP="00192BBD">
            <w:pPr>
              <w:jc w:val="center"/>
            </w:pPr>
            <w:r>
              <w:t>Sacral Slope</w:t>
            </w:r>
          </w:p>
        </w:tc>
        <w:tc>
          <w:tcPr>
            <w:tcW w:w="1440" w:type="dxa"/>
            <w:vMerge/>
            <w:tcBorders>
              <w:right w:val="single" w:sz="4" w:space="0" w:color="auto"/>
            </w:tcBorders>
            <w:vAlign w:val="center"/>
          </w:tcPr>
          <w:p w14:paraId="4C75FE99" w14:textId="77777777" w:rsidR="00A10516" w:rsidRDefault="00A10516" w:rsidP="00192BBD">
            <w:pPr>
              <w:jc w:val="center"/>
            </w:pPr>
          </w:p>
        </w:tc>
        <w:tc>
          <w:tcPr>
            <w:tcW w:w="360" w:type="dxa"/>
            <w:tcBorders>
              <w:top w:val="nil"/>
              <w:left w:val="single" w:sz="4" w:space="0" w:color="auto"/>
              <w:bottom w:val="nil"/>
              <w:right w:val="single" w:sz="4" w:space="0" w:color="auto"/>
            </w:tcBorders>
          </w:tcPr>
          <w:p w14:paraId="1D5C0385" w14:textId="77777777" w:rsidR="00A10516" w:rsidRDefault="00A10516" w:rsidP="00192BBD">
            <w:pPr>
              <w:jc w:val="center"/>
            </w:pPr>
          </w:p>
        </w:tc>
        <w:tc>
          <w:tcPr>
            <w:tcW w:w="3074" w:type="dxa"/>
            <w:tcBorders>
              <w:left w:val="single" w:sz="4" w:space="0" w:color="auto"/>
            </w:tcBorders>
            <w:vAlign w:val="center"/>
          </w:tcPr>
          <w:p w14:paraId="65B50BFF" w14:textId="56DDFDBC" w:rsidR="00A10516" w:rsidRDefault="00A10516" w:rsidP="00192BBD">
            <w:pPr>
              <w:jc w:val="center"/>
            </w:pPr>
            <w:r>
              <w:t>Sacral Slope</w:t>
            </w:r>
          </w:p>
        </w:tc>
        <w:tc>
          <w:tcPr>
            <w:tcW w:w="2051" w:type="dxa"/>
            <w:vMerge/>
            <w:vAlign w:val="center"/>
          </w:tcPr>
          <w:p w14:paraId="6D9A1C5C" w14:textId="77777777" w:rsidR="00A10516" w:rsidRDefault="00A10516" w:rsidP="00192BBD">
            <w:pPr>
              <w:jc w:val="center"/>
            </w:pPr>
          </w:p>
        </w:tc>
      </w:tr>
      <w:tr w:rsidR="00A10516" w14:paraId="00C4C5BB" w14:textId="77777777" w:rsidTr="002F7587">
        <w:tc>
          <w:tcPr>
            <w:tcW w:w="3510" w:type="dxa"/>
            <w:vAlign w:val="center"/>
          </w:tcPr>
          <w:p w14:paraId="268CEADC" w14:textId="0103C5E9" w:rsidR="00A10516" w:rsidRDefault="00A10516" w:rsidP="00192BBD">
            <w:pPr>
              <w:jc w:val="center"/>
            </w:pPr>
            <w:r>
              <w:t>Pelvic Radius</w:t>
            </w:r>
          </w:p>
        </w:tc>
        <w:tc>
          <w:tcPr>
            <w:tcW w:w="1440" w:type="dxa"/>
            <w:vMerge/>
            <w:tcBorders>
              <w:right w:val="single" w:sz="4" w:space="0" w:color="auto"/>
            </w:tcBorders>
            <w:vAlign w:val="center"/>
          </w:tcPr>
          <w:p w14:paraId="071ABBDD" w14:textId="77777777" w:rsidR="00A10516" w:rsidRDefault="00A10516" w:rsidP="00192BBD">
            <w:pPr>
              <w:jc w:val="center"/>
            </w:pPr>
          </w:p>
        </w:tc>
        <w:tc>
          <w:tcPr>
            <w:tcW w:w="360" w:type="dxa"/>
            <w:tcBorders>
              <w:top w:val="nil"/>
              <w:left w:val="single" w:sz="4" w:space="0" w:color="auto"/>
              <w:bottom w:val="nil"/>
              <w:right w:val="single" w:sz="4" w:space="0" w:color="auto"/>
            </w:tcBorders>
          </w:tcPr>
          <w:p w14:paraId="5E615382" w14:textId="77777777" w:rsidR="00A10516" w:rsidRDefault="00A10516" w:rsidP="00192BBD">
            <w:pPr>
              <w:jc w:val="center"/>
            </w:pPr>
          </w:p>
        </w:tc>
        <w:tc>
          <w:tcPr>
            <w:tcW w:w="3074" w:type="dxa"/>
            <w:tcBorders>
              <w:left w:val="single" w:sz="4" w:space="0" w:color="auto"/>
            </w:tcBorders>
            <w:vAlign w:val="center"/>
          </w:tcPr>
          <w:p w14:paraId="27A5BAC5" w14:textId="7ABA7682" w:rsidR="00A10516" w:rsidRDefault="00A10516" w:rsidP="00192BBD">
            <w:pPr>
              <w:jc w:val="center"/>
            </w:pPr>
            <w:r>
              <w:t>Pelvic Radius</w:t>
            </w:r>
          </w:p>
        </w:tc>
        <w:tc>
          <w:tcPr>
            <w:tcW w:w="2051" w:type="dxa"/>
            <w:vMerge/>
            <w:vAlign w:val="center"/>
          </w:tcPr>
          <w:p w14:paraId="1BFAD4DC" w14:textId="77777777" w:rsidR="00A10516" w:rsidRDefault="00A10516" w:rsidP="00192BBD">
            <w:pPr>
              <w:jc w:val="center"/>
            </w:pPr>
          </w:p>
        </w:tc>
      </w:tr>
      <w:tr w:rsidR="00A10516" w14:paraId="07D90EB6" w14:textId="77777777" w:rsidTr="002F7587">
        <w:tc>
          <w:tcPr>
            <w:tcW w:w="3510" w:type="dxa"/>
            <w:vAlign w:val="center"/>
          </w:tcPr>
          <w:p w14:paraId="17E24731" w14:textId="791664E0" w:rsidR="00A10516" w:rsidRDefault="00A10516" w:rsidP="00192BBD">
            <w:pPr>
              <w:jc w:val="center"/>
            </w:pPr>
            <w:r>
              <w:t>Grade of Spondylolisthesis</w:t>
            </w:r>
          </w:p>
        </w:tc>
        <w:tc>
          <w:tcPr>
            <w:tcW w:w="1440" w:type="dxa"/>
            <w:vMerge/>
            <w:tcBorders>
              <w:right w:val="single" w:sz="4" w:space="0" w:color="auto"/>
            </w:tcBorders>
            <w:vAlign w:val="center"/>
          </w:tcPr>
          <w:p w14:paraId="5ED1D561" w14:textId="77777777" w:rsidR="00A10516" w:rsidRDefault="00A10516" w:rsidP="00192BBD">
            <w:pPr>
              <w:jc w:val="center"/>
            </w:pPr>
          </w:p>
        </w:tc>
        <w:tc>
          <w:tcPr>
            <w:tcW w:w="360" w:type="dxa"/>
            <w:tcBorders>
              <w:top w:val="nil"/>
              <w:left w:val="single" w:sz="4" w:space="0" w:color="auto"/>
              <w:bottom w:val="nil"/>
              <w:right w:val="single" w:sz="4" w:space="0" w:color="auto"/>
            </w:tcBorders>
          </w:tcPr>
          <w:p w14:paraId="01E71D5B" w14:textId="77777777" w:rsidR="00A10516" w:rsidRDefault="00A10516" w:rsidP="00192BBD">
            <w:pPr>
              <w:jc w:val="center"/>
            </w:pPr>
          </w:p>
        </w:tc>
        <w:tc>
          <w:tcPr>
            <w:tcW w:w="3074" w:type="dxa"/>
            <w:tcBorders>
              <w:left w:val="single" w:sz="4" w:space="0" w:color="auto"/>
            </w:tcBorders>
            <w:vAlign w:val="center"/>
          </w:tcPr>
          <w:p w14:paraId="32F3C085" w14:textId="150F2ABC" w:rsidR="00A10516" w:rsidRDefault="00A10516" w:rsidP="00192BBD">
            <w:pPr>
              <w:jc w:val="center"/>
            </w:pPr>
            <w:r>
              <w:t>Grade of Spondylolisthesis</w:t>
            </w:r>
          </w:p>
        </w:tc>
        <w:tc>
          <w:tcPr>
            <w:tcW w:w="2051" w:type="dxa"/>
            <w:vMerge/>
            <w:vAlign w:val="center"/>
          </w:tcPr>
          <w:p w14:paraId="4C2D7B1E" w14:textId="77777777" w:rsidR="00A10516" w:rsidRDefault="00A10516" w:rsidP="00192BBD">
            <w:pPr>
              <w:jc w:val="center"/>
            </w:pPr>
          </w:p>
        </w:tc>
      </w:tr>
    </w:tbl>
    <w:p w14:paraId="69227A1B" w14:textId="7985E664" w:rsidR="001D0D20" w:rsidRDefault="00661913" w:rsidP="002F7587">
      <w:pPr>
        <w:spacing w:before="120"/>
        <w:ind w:left="360"/>
      </w:pPr>
      <w:r>
        <w:t xml:space="preserve">Notes: </w:t>
      </w:r>
      <w:r w:rsidR="003A7F06">
        <w:t xml:space="preserve">Six biomechanical features of both datasets </w:t>
      </w:r>
      <w:r w:rsidR="006A799C">
        <w:t>have</w:t>
      </w:r>
      <w:r w:rsidR="003A7F06">
        <w:t xml:space="preserve"> the same</w:t>
      </w:r>
      <w:r w:rsidR="006A799C">
        <w:t xml:space="preserve"> structure and values</w:t>
      </w:r>
      <w:r w:rsidR="003A7F06">
        <w:t>.</w:t>
      </w:r>
    </w:p>
    <w:p w14:paraId="2C843295" w14:textId="1B21C914" w:rsidR="001D0D20" w:rsidRDefault="001D0D20" w:rsidP="008D0F7A">
      <w:pPr>
        <w:pStyle w:val="Heading2"/>
        <w:spacing w:before="240"/>
      </w:pPr>
      <w:r w:rsidRPr="001D0D20">
        <w:t>DATA DISTRIBUTION</w:t>
      </w:r>
    </w:p>
    <w:p w14:paraId="00E487EF" w14:textId="1B7A56CF" w:rsidR="001D0D20" w:rsidRDefault="001D0D20" w:rsidP="008D0F7A">
      <w:pPr>
        <w:ind w:left="360"/>
      </w:pPr>
      <w:r>
        <w:t>Total patients (310)</w:t>
      </w:r>
    </w:p>
    <w:p w14:paraId="5A3F8F99" w14:textId="0BBAE1EF" w:rsidR="001D0D20" w:rsidRDefault="001D0D20" w:rsidP="008D0F7A">
      <w:pPr>
        <w:pStyle w:val="ListParagraph"/>
        <w:numPr>
          <w:ilvl w:val="0"/>
          <w:numId w:val="14"/>
        </w:numPr>
        <w:ind w:left="1080"/>
      </w:pPr>
      <w:r>
        <w:t>Normal patients (100)</w:t>
      </w:r>
    </w:p>
    <w:p w14:paraId="5374CE21" w14:textId="09A14AAF" w:rsidR="001D0D20" w:rsidRDefault="001D0D20" w:rsidP="008D0F7A">
      <w:pPr>
        <w:pStyle w:val="ListParagraph"/>
        <w:numPr>
          <w:ilvl w:val="0"/>
          <w:numId w:val="14"/>
        </w:numPr>
        <w:ind w:left="1080"/>
      </w:pPr>
      <w:r>
        <w:t>Abnormal patients (210)</w:t>
      </w:r>
    </w:p>
    <w:p w14:paraId="43149C5C" w14:textId="719559C2" w:rsidR="001D0D20" w:rsidRDefault="001D0D20" w:rsidP="008D0F7A">
      <w:pPr>
        <w:pStyle w:val="ListParagraph"/>
        <w:numPr>
          <w:ilvl w:val="1"/>
          <w:numId w:val="14"/>
        </w:numPr>
        <w:ind w:left="1440"/>
      </w:pPr>
      <w:r>
        <w:t>Patients with disc hernia (Herniated Disc) (60)</w:t>
      </w:r>
    </w:p>
    <w:p w14:paraId="464FBF43" w14:textId="77777777" w:rsidR="006874CE" w:rsidRDefault="001D0D20" w:rsidP="008D0F7A">
      <w:pPr>
        <w:pStyle w:val="ListParagraph"/>
        <w:numPr>
          <w:ilvl w:val="1"/>
          <w:numId w:val="14"/>
        </w:numPr>
        <w:ind w:left="1440"/>
      </w:pPr>
      <w:r>
        <w:t>Patients with Spondylolisthesis (150)</w:t>
      </w:r>
    </w:p>
    <w:p w14:paraId="777CD09A" w14:textId="25993607" w:rsidR="007A0DCB" w:rsidRDefault="006C3F88" w:rsidP="008D0F7A">
      <w:pPr>
        <w:ind w:left="360"/>
      </w:pPr>
      <w:r>
        <w:t>Notes:</w:t>
      </w:r>
      <w:r w:rsidR="008B78A3" w:rsidRPr="008B78A3">
        <w:t xml:space="preserve"> </w:t>
      </w:r>
      <w:r w:rsidR="008B78A3" w:rsidRPr="008B78A3">
        <w:t>The dataset contains approximately twice as many records for abnormal patients as for normal patients</w:t>
      </w:r>
      <w:r>
        <w:t>.</w:t>
      </w:r>
      <w:r w:rsidR="00516FF2">
        <w:t xml:space="preserve"> Because of the class imbalance, the model </w:t>
      </w:r>
      <w:r w:rsidR="0004209F">
        <w:t>probably</w:t>
      </w:r>
      <w:r w:rsidR="00516FF2">
        <w:t xml:space="preserve"> </w:t>
      </w:r>
      <w:r w:rsidR="00E56923">
        <w:t>performs</w:t>
      </w:r>
      <w:r w:rsidR="00516FF2">
        <w:t xml:space="preserve"> better at predicting abnormal cases than normal ones.</w:t>
      </w:r>
    </w:p>
    <w:p w14:paraId="33A8FF13" w14:textId="7E7414D2" w:rsidR="002B1FD1" w:rsidRDefault="006874CE" w:rsidP="008D0F7A">
      <w:pPr>
        <w:pStyle w:val="Heading2"/>
        <w:spacing w:before="240"/>
      </w:pPr>
      <w:r>
        <w:t>DATA CONDITION</w:t>
      </w:r>
    </w:p>
    <w:p w14:paraId="48C38BEA" w14:textId="10DB7431" w:rsidR="00683D08" w:rsidRDefault="001220B6" w:rsidP="008D0F7A">
      <w:pPr>
        <w:ind w:left="360"/>
      </w:pPr>
      <w:r w:rsidRPr="001220B6">
        <w:t>The dataset was examined for overall quality and found to be clean and well-structured. There are no missing or null values across any of the features, ensuring completeness of the data. Duplicate records were checked and none were found, confirming the uniqueness of each observation.</w:t>
      </w:r>
    </w:p>
    <w:p w14:paraId="4FDF80F9" w14:textId="10BD49C4" w:rsidR="006874CE" w:rsidRPr="001D0D20" w:rsidRDefault="001220B6" w:rsidP="008D0F7A">
      <w:pPr>
        <w:ind w:left="360"/>
      </w:pPr>
      <w:r w:rsidRPr="001220B6">
        <w:t>Additionally, the target variable (y) contains consistent and correctly labeled outcome classes, with no spelling variations or case inconsistencies. This clean state of the dataset provides a reliable foundation for subsequent modeling and analysis.</w:t>
      </w:r>
    </w:p>
    <w:p w14:paraId="6B485621" w14:textId="77777777" w:rsidR="00EB04CF" w:rsidRDefault="00EB04CF">
      <w:pPr>
        <w:rPr>
          <w:rFonts w:asciiTheme="majorHAnsi" w:eastAsiaTheme="majorEastAsia" w:hAnsiTheme="majorHAnsi" w:cstheme="majorBidi"/>
          <w:color w:val="0F4761" w:themeColor="accent1" w:themeShade="BF"/>
          <w:sz w:val="40"/>
          <w:szCs w:val="40"/>
        </w:rPr>
      </w:pPr>
      <w:r>
        <w:br w:type="page"/>
      </w:r>
    </w:p>
    <w:p w14:paraId="71D77972" w14:textId="0EFBC1D9" w:rsidR="000C4DBC" w:rsidRDefault="000C4DBC" w:rsidP="00005C82">
      <w:pPr>
        <w:pStyle w:val="Heading1"/>
        <w:jc w:val="center"/>
      </w:pPr>
      <w:r w:rsidRPr="00F04ECC">
        <w:lastRenderedPageBreak/>
        <w:t>EXPLORATORY DATA ANALYSIS</w:t>
      </w:r>
      <w:r w:rsidR="005714F4" w:rsidRPr="00F04ECC">
        <w:t xml:space="preserve"> &amp; VISUALIZATION</w:t>
      </w:r>
    </w:p>
    <w:p w14:paraId="6976D5FA" w14:textId="34FDFF5A" w:rsidR="00EB04CF" w:rsidRDefault="00187B22" w:rsidP="002F7587">
      <w:pPr>
        <w:pStyle w:val="Heading2"/>
        <w:spacing w:before="240"/>
      </w:pPr>
      <w:r>
        <w:t>FEATURE</w:t>
      </w:r>
      <w:r w:rsidR="003B7E37">
        <w:t xml:space="preserve"> DISTRIBUTION</w:t>
      </w:r>
    </w:p>
    <w:p w14:paraId="3C524386" w14:textId="6CC1CBF4" w:rsidR="00F90840" w:rsidRDefault="003B7E37" w:rsidP="00BA7612">
      <w:pPr>
        <w:ind w:left="180"/>
      </w:pPr>
      <w:r>
        <w:rPr>
          <w:noProof/>
        </w:rPr>
        <w:drawing>
          <wp:inline distT="0" distB="0" distL="0" distR="0" wp14:anchorId="2B5F94E6" wp14:editId="25603F3F">
            <wp:extent cx="6916420" cy="6310769"/>
            <wp:effectExtent l="0" t="0" r="5080" b="1270"/>
            <wp:docPr id="218933055" name="Picture 1" descr="Featur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33055" name="Picture 1" descr="Feature Distribution"/>
                    <pic:cNvPicPr/>
                  </pic:nvPicPr>
                  <pic:blipFill>
                    <a:blip r:embed="rId7">
                      <a:extLst>
                        <a:ext uri="{28A0092B-C50C-407E-A947-70E740481C1C}">
                          <a14:useLocalDpi xmlns:a14="http://schemas.microsoft.com/office/drawing/2010/main" val="0"/>
                        </a:ext>
                      </a:extLst>
                    </a:blip>
                    <a:stretch>
                      <a:fillRect/>
                    </a:stretch>
                  </pic:blipFill>
                  <pic:spPr>
                    <a:xfrm>
                      <a:off x="0" y="0"/>
                      <a:ext cx="7070596" cy="6451444"/>
                    </a:xfrm>
                    <a:prstGeom prst="rect">
                      <a:avLst/>
                    </a:prstGeom>
                    <a:ln>
                      <a:noFill/>
                    </a:ln>
                  </pic:spPr>
                </pic:pic>
              </a:graphicData>
            </a:graphic>
          </wp:inline>
        </w:drawing>
      </w:r>
    </w:p>
    <w:p w14:paraId="753B394C" w14:textId="77777777" w:rsidR="00A711BD" w:rsidRDefault="009F2372" w:rsidP="002F7587">
      <w:pPr>
        <w:ind w:left="360"/>
      </w:pPr>
      <w:r w:rsidRPr="009F2372">
        <w:t>The boxplot shows the distribution of six biomechanical features. Most features have a relatively symmetric spread with some outliers, especially in degree of spondylolisthesis, which exhibits extreme values and high variability. Pelvic radius has the tightest distribution, while pelvic tilt and sacral slope show moderate spread.</w:t>
      </w:r>
    </w:p>
    <w:p w14:paraId="26DCA6AB" w14:textId="741C1AC0" w:rsidR="009F2372" w:rsidRPr="00B96AC7" w:rsidRDefault="009F2372" w:rsidP="002F7587">
      <w:pPr>
        <w:ind w:left="360"/>
      </w:pPr>
      <w:r w:rsidRPr="009F2372">
        <w:t>Overall, the features vary in scale and contain outliers that may need preprocessing before modeling.</w:t>
      </w:r>
    </w:p>
    <w:p w14:paraId="06C33826" w14:textId="513CBEBF" w:rsidR="000C4DBC" w:rsidRDefault="000C4DBC" w:rsidP="005A002B">
      <w:pPr>
        <w:pStyle w:val="Heading1"/>
        <w:jc w:val="center"/>
      </w:pPr>
      <w:r w:rsidRPr="00F04ECC">
        <w:lastRenderedPageBreak/>
        <w:t>DATA PRE</w:t>
      </w:r>
      <w:r w:rsidR="00261391" w:rsidRPr="00F04ECC">
        <w:t>PROCESSING</w:t>
      </w:r>
    </w:p>
    <w:p w14:paraId="66A0682D" w14:textId="6FD974BF" w:rsidR="00B96AC7" w:rsidRDefault="00B96AC7" w:rsidP="00BA7612">
      <w:pPr>
        <w:pStyle w:val="Heading2"/>
        <w:spacing w:before="240"/>
      </w:pPr>
      <w:r>
        <w:t>FEATURE SCALING</w:t>
      </w:r>
    </w:p>
    <w:p w14:paraId="194D4578" w14:textId="6D04ED2A" w:rsidR="0079475C" w:rsidRDefault="007A4A40" w:rsidP="00BA7612">
      <w:pPr>
        <w:ind w:left="360"/>
      </w:pPr>
      <w:r w:rsidRPr="007A4A40">
        <w:t xml:space="preserve">The dataset contains six numerical biomechanical features. To prepare the data for modeling, the first </w:t>
      </w:r>
      <w:r>
        <w:t>four</w:t>
      </w:r>
      <w:r w:rsidRPr="007A4A40">
        <w:t xml:space="preserve"> features were scaled using StandardScaler, which standardizes values based on the mean and standard deviation.</w:t>
      </w:r>
    </w:p>
    <w:p w14:paraId="0C238E55" w14:textId="77777777" w:rsidR="00475DB5" w:rsidRDefault="007A4A40" w:rsidP="00BA7612">
      <w:pPr>
        <w:ind w:left="360"/>
      </w:pPr>
      <w:r w:rsidRPr="007A4A40">
        <w:t>However, the last</w:t>
      </w:r>
      <w:r w:rsidR="00E35924">
        <w:t xml:space="preserve"> two</w:t>
      </w:r>
      <w:r w:rsidRPr="007A4A40">
        <w:t xml:space="preserve"> feature</w:t>
      </w:r>
      <w:r w:rsidR="0079475C">
        <w:t>s</w:t>
      </w:r>
      <w:r w:rsidRPr="007A4A40">
        <w:t xml:space="preserve">, </w:t>
      </w:r>
      <w:r w:rsidR="00E35924">
        <w:t>‘pelvic radius’ and ‘</w:t>
      </w:r>
      <w:r w:rsidRPr="007A4A40">
        <w:t>degree of spondylolisthesis</w:t>
      </w:r>
      <w:r w:rsidR="00E35924">
        <w:t>’</w:t>
      </w:r>
      <w:r w:rsidRPr="007A4A40">
        <w:t>, exhibited significant outliers, as seen in the boxplot analysis.</w:t>
      </w:r>
      <w:r w:rsidR="0079475C">
        <w:t xml:space="preserve"> </w:t>
      </w:r>
      <w:r w:rsidRPr="007A4A40">
        <w:t>To address this, RobustScaler was applied to th</w:t>
      </w:r>
      <w:r w:rsidR="006E3E2E">
        <w:t>ose</w:t>
      </w:r>
      <w:r w:rsidRPr="007A4A40">
        <w:t xml:space="preserve"> feature</w:t>
      </w:r>
      <w:r w:rsidR="006E3E2E">
        <w:t>s</w:t>
      </w:r>
      <w:r w:rsidRPr="007A4A40">
        <w:t>, as it is less sensitive to outliers and scales data based on the median and interquartile range.</w:t>
      </w:r>
    </w:p>
    <w:p w14:paraId="4D9A520E" w14:textId="3811562B" w:rsidR="007A4A40" w:rsidRPr="007A4A40" w:rsidRDefault="007A4A40" w:rsidP="00BA7612">
      <w:pPr>
        <w:ind w:left="360"/>
      </w:pPr>
      <w:r w:rsidRPr="007A4A40">
        <w:t>This mixed-scaling approach ensures consistent feature scaling while minimizing the influence of extreme values.</w:t>
      </w:r>
    </w:p>
    <w:p w14:paraId="64CB6F40" w14:textId="38633383" w:rsidR="008E66AC" w:rsidRDefault="008E66AC" w:rsidP="00BA7612">
      <w:pPr>
        <w:pStyle w:val="Heading2"/>
        <w:spacing w:before="240"/>
      </w:pPr>
      <w:r>
        <w:t>LABEL ENCODING</w:t>
      </w:r>
    </w:p>
    <w:p w14:paraId="6970C73A" w14:textId="77777777" w:rsidR="00505A51" w:rsidRDefault="00505A51" w:rsidP="00BA7612">
      <w:pPr>
        <w:ind w:left="360"/>
      </w:pPr>
      <w:r w:rsidRPr="00505A51">
        <w:t>For the binary classification dataset df_2C, the target variable consists of two classes: Normal (0) and Abnormal (1). One-hot encoding was applied to this target, converting it into a binary vector format suitable for certain algorithms that benefit from categorical expansion.</w:t>
      </w:r>
    </w:p>
    <w:p w14:paraId="026AEF62" w14:textId="19A4FC53" w:rsidR="00505A51" w:rsidRPr="00505A51" w:rsidRDefault="00505A51" w:rsidP="00BA7612">
      <w:pPr>
        <w:ind w:left="360"/>
      </w:pPr>
      <w:r w:rsidRPr="00505A51">
        <w:t>In contrast, the multiclass dataset df_3C includes three classes: Normal (0), Hernia (1), and Spondylolisthesis (2). For this case, label encoding was used to retain the ordinal class representation, which is appropriate for multiclass classification tasks where the labels are already numeric and do not require further transformation.</w:t>
      </w:r>
    </w:p>
    <w:p w14:paraId="03952B70" w14:textId="76C630A5" w:rsidR="00261391" w:rsidRDefault="00261391" w:rsidP="005A002B">
      <w:pPr>
        <w:pStyle w:val="Heading1"/>
        <w:jc w:val="center"/>
      </w:pPr>
      <w:r w:rsidRPr="00F04ECC">
        <w:t>MACHINE LEARNING MODELING</w:t>
      </w:r>
    </w:p>
    <w:p w14:paraId="0D33EF88" w14:textId="498FB1B1" w:rsidR="000804CA" w:rsidRDefault="000804CA" w:rsidP="00BA7612">
      <w:pPr>
        <w:pStyle w:val="Heading2"/>
        <w:spacing w:before="240"/>
      </w:pPr>
      <w:r>
        <w:t>DATA SPLITTING</w:t>
      </w:r>
    </w:p>
    <w:p w14:paraId="698B5F99" w14:textId="77777777" w:rsidR="005A002B" w:rsidRDefault="00DB1943" w:rsidP="00BA7612">
      <w:pPr>
        <w:ind w:left="360"/>
      </w:pPr>
      <w:r w:rsidRPr="00DB1943">
        <w:t>The dataset was split into training and testing sets using an 80/20 ratio with stratified sampling to preserve class distribution.</w:t>
      </w:r>
    </w:p>
    <w:p w14:paraId="36FF712C" w14:textId="2A891F88" w:rsidR="000804CA" w:rsidRPr="000804CA" w:rsidRDefault="00DB1943" w:rsidP="00BA7612">
      <w:pPr>
        <w:ind w:left="360"/>
      </w:pPr>
      <w:r w:rsidRPr="00DB1943">
        <w:t>The training set contains 248 samples with 6 features, and the testing set includes 62 samples, ensuring a balanced representation of both classes in each subset</w:t>
      </w:r>
      <w:r w:rsidR="00667C44">
        <w:t xml:space="preserve"> </w:t>
      </w:r>
      <w:r w:rsidR="009245DD">
        <w:t>using stratify</w:t>
      </w:r>
      <w:r w:rsidRPr="00DB1943">
        <w:t>.</w:t>
      </w:r>
    </w:p>
    <w:p w14:paraId="4448C96C" w14:textId="1E398F48" w:rsidR="00615140" w:rsidRDefault="00615140" w:rsidP="00BA7612">
      <w:pPr>
        <w:pStyle w:val="Heading2"/>
        <w:spacing w:before="240"/>
      </w:pPr>
      <w:r>
        <w:t>MODEL SELECTION</w:t>
      </w:r>
      <w:r w:rsidR="0047051B">
        <w:t xml:space="preserve"> &amp; TRAINING</w:t>
      </w:r>
    </w:p>
    <w:p w14:paraId="1C5BEA0E" w14:textId="7986BBCF" w:rsidR="00163D55" w:rsidRDefault="00163D55" w:rsidP="00BA7612">
      <w:pPr>
        <w:ind w:left="360"/>
      </w:pPr>
      <w:r>
        <w:t xml:space="preserve">For this dataset, </w:t>
      </w:r>
      <w:r w:rsidR="007325E8">
        <w:t>algorithms</w:t>
      </w:r>
      <w:r w:rsidR="00794A39">
        <w:t xml:space="preserve"> </w:t>
      </w:r>
      <w:r w:rsidR="004F1BDF">
        <w:t>such as</w:t>
      </w:r>
      <w:r w:rsidR="00794A39">
        <w:t xml:space="preserve"> Random</w:t>
      </w:r>
      <w:r w:rsidR="004F1BDF">
        <w:t xml:space="preserve"> </w:t>
      </w:r>
      <w:r w:rsidR="00794A39">
        <w:t>Forest, Decision</w:t>
      </w:r>
      <w:r w:rsidR="004F1BDF">
        <w:t xml:space="preserve"> </w:t>
      </w:r>
      <w:r w:rsidR="00794A39">
        <w:t xml:space="preserve">Tree, and Naïve Bayes will be </w:t>
      </w:r>
      <w:r w:rsidR="007325E8">
        <w:t>used to train</w:t>
      </w:r>
      <w:r w:rsidR="004F1BDF">
        <w:t xml:space="preserve"> models and</w:t>
      </w:r>
      <w:r w:rsidR="007325E8">
        <w:t xml:space="preserve"> compare </w:t>
      </w:r>
      <w:r w:rsidR="004F1BDF">
        <w:t xml:space="preserve">their </w:t>
      </w:r>
      <w:r w:rsidR="007325E8">
        <w:t xml:space="preserve">performance to </w:t>
      </w:r>
      <w:r w:rsidR="00311B97">
        <w:t>identify</w:t>
      </w:r>
      <w:r w:rsidR="007325E8">
        <w:t xml:space="preserve"> the </w:t>
      </w:r>
      <w:r w:rsidR="00311B97">
        <w:t>most effective</w:t>
      </w:r>
      <w:r w:rsidR="007325E8">
        <w:t xml:space="preserve"> model.</w:t>
      </w:r>
    </w:p>
    <w:p w14:paraId="22B26E34" w14:textId="77777777" w:rsidR="00AC3988" w:rsidRDefault="0060707B" w:rsidP="00BA7612">
      <w:pPr>
        <w:ind w:left="360"/>
      </w:pPr>
      <w:r w:rsidRPr="0060707B">
        <w:t>For tree-based models such as Random Forest and Decision Tree, feature scaling was not applied, as these algorithms are inherently insensitive to the scale of input features.</w:t>
      </w:r>
    </w:p>
    <w:p w14:paraId="45F02F57" w14:textId="71101AD0" w:rsidR="009245DD" w:rsidRPr="00163D55" w:rsidRDefault="0060707B" w:rsidP="00BA7612">
      <w:pPr>
        <w:ind w:left="360"/>
      </w:pPr>
      <w:r w:rsidRPr="0060707B">
        <w:lastRenderedPageBreak/>
        <w:t>However, Naïve Bayes relies on probability calculations that assume normally distributed features, making feature scaling important for accurate results. Therefore, scaling was specifically applied for the Naïve Bayes model to ensure proper feature contribution and improved performance.</w:t>
      </w:r>
    </w:p>
    <w:p w14:paraId="7340CCB1" w14:textId="69812555" w:rsidR="00261391" w:rsidRDefault="00261391" w:rsidP="006E1A1B">
      <w:pPr>
        <w:pStyle w:val="Heading1"/>
        <w:jc w:val="center"/>
      </w:pPr>
      <w:r w:rsidRPr="00F04ECC">
        <w:t>RESULTS, COMPARISON, &amp; INTEPRETATION</w:t>
      </w:r>
    </w:p>
    <w:p w14:paraId="7782C6CD" w14:textId="06040E74" w:rsidR="0028706B" w:rsidRDefault="006E1A1B" w:rsidP="00BA7612">
      <w:pPr>
        <w:pStyle w:val="Heading2"/>
        <w:spacing w:before="240"/>
      </w:pPr>
      <w:r>
        <w:t>DATASET df_2C</w:t>
      </w:r>
    </w:p>
    <w:p w14:paraId="3A4A1BC9" w14:textId="4CA4F1B1" w:rsidR="004079EA" w:rsidRPr="004079EA" w:rsidRDefault="004079EA" w:rsidP="00BA7612">
      <w:pPr>
        <w:pStyle w:val="Heading3"/>
        <w:ind w:left="360"/>
      </w:pPr>
      <w:r>
        <w:t>SCORES</w:t>
      </w:r>
    </w:p>
    <w:p w14:paraId="077396E5" w14:textId="1DCB5B5B" w:rsidR="006A4D3B" w:rsidRDefault="006A4D3B" w:rsidP="00BA7612">
      <w:pPr>
        <w:ind w:left="720"/>
      </w:pPr>
      <w:r>
        <w:t>Random</w:t>
      </w:r>
      <w:r>
        <w:t xml:space="preserve"> </w:t>
      </w:r>
      <w:r>
        <w:t>Forest - Accuracy: 0.8065, Precision: 0.8409, Recall: 0.8810, F1 Score: 0.8605</w:t>
      </w:r>
    </w:p>
    <w:p w14:paraId="787091F3" w14:textId="31D043F2" w:rsidR="006A4D3B" w:rsidRDefault="006A4D3B" w:rsidP="00BA7612">
      <w:pPr>
        <w:ind w:left="720"/>
      </w:pPr>
      <w:r>
        <w:t>Decision</w:t>
      </w:r>
      <w:r>
        <w:t xml:space="preserve"> </w:t>
      </w:r>
      <w:r>
        <w:t>Tree - Accuracy: 0.7419, Precision: 0.8095, Recall: 0.8095, F1 Score: 0.8095</w:t>
      </w:r>
    </w:p>
    <w:p w14:paraId="7121EE13" w14:textId="66AA6421" w:rsidR="006E1A1B" w:rsidRDefault="006A4D3B" w:rsidP="00BA7612">
      <w:pPr>
        <w:ind w:left="720"/>
      </w:pPr>
      <w:r>
        <w:t xml:space="preserve">Naïve </w:t>
      </w:r>
      <w:r>
        <w:t>Bayes - Accuracy: 0.7258, Precision: 0.8571, Recall: 0.7143, F1 Score: 0.7792</w:t>
      </w:r>
    </w:p>
    <w:p w14:paraId="28E6CB7D" w14:textId="736BFE5E" w:rsidR="004079EA" w:rsidRDefault="00D03BAC" w:rsidP="00BA7612">
      <w:pPr>
        <w:pStyle w:val="Heading3"/>
        <w:ind w:left="360"/>
      </w:pPr>
      <w:r>
        <w:t>CONFUSION MATRIX</w:t>
      </w:r>
    </w:p>
    <w:p w14:paraId="6C7D53AE" w14:textId="65D0D1A2" w:rsidR="00ED4920" w:rsidRDefault="00ED4920" w:rsidP="001D5A09">
      <w:pPr>
        <w:ind w:left="720"/>
      </w:pPr>
      <w:r>
        <w:rPr>
          <w:noProof/>
        </w:rPr>
        <w:drawing>
          <wp:inline distT="0" distB="0" distL="0" distR="0" wp14:anchorId="17072598" wp14:editId="1D55457C">
            <wp:extent cx="6442140" cy="2446655"/>
            <wp:effectExtent l="0" t="0" r="0" b="4445"/>
            <wp:docPr id="1384971484" name="Picture 2" descr="df_2C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71484" name="Picture 2" descr="df_2C Confusion Matrix"/>
                    <pic:cNvPicPr/>
                  </pic:nvPicPr>
                  <pic:blipFill>
                    <a:blip r:embed="rId8">
                      <a:extLst>
                        <a:ext uri="{28A0092B-C50C-407E-A947-70E740481C1C}">
                          <a14:useLocalDpi xmlns:a14="http://schemas.microsoft.com/office/drawing/2010/main" val="0"/>
                        </a:ext>
                      </a:extLst>
                    </a:blip>
                    <a:stretch>
                      <a:fillRect/>
                    </a:stretch>
                  </pic:blipFill>
                  <pic:spPr>
                    <a:xfrm>
                      <a:off x="0" y="0"/>
                      <a:ext cx="6679185" cy="2536682"/>
                    </a:xfrm>
                    <a:prstGeom prst="rect">
                      <a:avLst/>
                    </a:prstGeom>
                  </pic:spPr>
                </pic:pic>
              </a:graphicData>
            </a:graphic>
          </wp:inline>
        </w:drawing>
      </w:r>
    </w:p>
    <w:p w14:paraId="20E37D34" w14:textId="0B080049" w:rsidR="004F7A2F" w:rsidRPr="00ED4920" w:rsidRDefault="004F7A2F" w:rsidP="00BA7612">
      <w:pPr>
        <w:ind w:left="720"/>
      </w:pPr>
      <w:r>
        <w:t xml:space="preserve">Labels: </w:t>
      </w:r>
      <w:r w:rsidRPr="00505A51">
        <w:t>Normal (0) and Abnormal (1)</w:t>
      </w:r>
      <w:r>
        <w:t>.</w:t>
      </w:r>
    </w:p>
    <w:p w14:paraId="31EEE165" w14:textId="2DD4E0B0" w:rsidR="006E1A1B" w:rsidRDefault="006E1A1B" w:rsidP="00BA7612">
      <w:pPr>
        <w:pStyle w:val="Heading2"/>
        <w:spacing w:before="240"/>
      </w:pPr>
      <w:r>
        <w:t>DATASET df_</w:t>
      </w:r>
      <w:r>
        <w:t>3</w:t>
      </w:r>
      <w:r>
        <w:t>C</w:t>
      </w:r>
    </w:p>
    <w:p w14:paraId="16C172B4" w14:textId="6014373C" w:rsidR="00D03BAC" w:rsidRPr="00D03BAC" w:rsidRDefault="00D03BAC" w:rsidP="00BA7612">
      <w:pPr>
        <w:pStyle w:val="Heading3"/>
        <w:ind w:left="360"/>
      </w:pPr>
      <w:r>
        <w:t>SCORES</w:t>
      </w:r>
    </w:p>
    <w:p w14:paraId="603F2760" w14:textId="77777777" w:rsidR="00E326E7" w:rsidRDefault="00E326E7" w:rsidP="00BA7612">
      <w:pPr>
        <w:ind w:left="720"/>
      </w:pPr>
      <w:r>
        <w:t>Random Forest - Accuracy: 0.8226, Precision: 0.8213, Recall: 0.8226, F1 Score: 0.8216</w:t>
      </w:r>
    </w:p>
    <w:p w14:paraId="71D67772" w14:textId="77777777" w:rsidR="00E326E7" w:rsidRDefault="00E326E7" w:rsidP="00BA7612">
      <w:pPr>
        <w:ind w:left="720"/>
      </w:pPr>
      <w:r>
        <w:t>Decision Tree - Accuracy: 0.7258, Precision: 0.7609, Recall: 0.7258, F1 Score: 0.7391</w:t>
      </w:r>
    </w:p>
    <w:p w14:paraId="4BB14DFE" w14:textId="77777777" w:rsidR="00E326E7" w:rsidRDefault="00E326E7" w:rsidP="00BA7612">
      <w:pPr>
        <w:ind w:left="720"/>
      </w:pPr>
      <w:r>
        <w:t>Naive Bayes - Accuracy: 0.8871, Precision: 0.8836, Recall: 0.8871, F1 Score: 0.8844</w:t>
      </w:r>
    </w:p>
    <w:p w14:paraId="31D776A2" w14:textId="721D6BA3" w:rsidR="006E1A1B" w:rsidRPr="0028706B" w:rsidRDefault="00D03BAC" w:rsidP="00BA7612">
      <w:pPr>
        <w:pStyle w:val="Heading3"/>
        <w:ind w:left="360"/>
      </w:pPr>
      <w:r>
        <w:lastRenderedPageBreak/>
        <w:t>CONFUSION MATRIX</w:t>
      </w:r>
    </w:p>
    <w:p w14:paraId="0BDC3507" w14:textId="77777777" w:rsidR="004F7A2F" w:rsidRDefault="004F7A2F" w:rsidP="004F7A2F">
      <w:pPr>
        <w:ind w:left="720"/>
      </w:pPr>
      <w:r>
        <w:rPr>
          <w:noProof/>
        </w:rPr>
        <w:drawing>
          <wp:inline distT="0" distB="0" distL="0" distR="0" wp14:anchorId="4F9DF1E8" wp14:editId="4B30673C">
            <wp:extent cx="6433457" cy="2449195"/>
            <wp:effectExtent l="0" t="0" r="5715" b="1905"/>
            <wp:docPr id="1632503607" name="Picture 3" descr="A diagram of a variety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03607" name="Picture 3" descr="A diagram of a variety of blue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451458" cy="2456048"/>
                    </a:xfrm>
                    <a:prstGeom prst="rect">
                      <a:avLst/>
                    </a:prstGeom>
                  </pic:spPr>
                </pic:pic>
              </a:graphicData>
            </a:graphic>
          </wp:inline>
        </w:drawing>
      </w:r>
    </w:p>
    <w:p w14:paraId="15176AD4" w14:textId="6FB4654B" w:rsidR="001E5F1C" w:rsidRDefault="004F7A2F" w:rsidP="00BA7612">
      <w:pPr>
        <w:ind w:left="720"/>
      </w:pPr>
      <w:r>
        <w:t xml:space="preserve">Labels: </w:t>
      </w:r>
      <w:r w:rsidRPr="00505A51">
        <w:t>Normal (0), Hernia (1), and Spondylolisthesis (2)</w:t>
      </w:r>
      <w:r>
        <w:t>.</w:t>
      </w:r>
    </w:p>
    <w:p w14:paraId="13C7CB83" w14:textId="0E48D577" w:rsidR="000B5960" w:rsidRDefault="008D0F7A" w:rsidP="008D0F7A">
      <w:pPr>
        <w:pStyle w:val="Heading2"/>
      </w:pPr>
      <w:r>
        <w:t>INTEPRETATION</w:t>
      </w:r>
    </w:p>
    <w:p w14:paraId="4794DE5D" w14:textId="77777777" w:rsidR="00980F00" w:rsidRDefault="00980F00" w:rsidP="00980F00">
      <w:pPr>
        <w:ind w:left="360"/>
      </w:pPr>
      <w:r>
        <w:t>Binary Classification (df_2C — Normal vs Abnormal):</w:t>
      </w:r>
    </w:p>
    <w:p w14:paraId="3523607D" w14:textId="2CE81C26" w:rsidR="00980F00" w:rsidRDefault="00980F00" w:rsidP="00B62BD4">
      <w:pPr>
        <w:pStyle w:val="ListParagraph"/>
        <w:numPr>
          <w:ilvl w:val="0"/>
          <w:numId w:val="15"/>
        </w:numPr>
      </w:pPr>
      <w:r>
        <w:t>Random Forest shows the best overall performance with high recall (88.10%), indicating it correctly identifies most abnormal patients. Its F1 score (86.05%) reflects a good balance between precision and recall. The confusion matrix confirms this, showing only 5 false negatives and 7 false positives, suggesting strong generalization.</w:t>
      </w:r>
    </w:p>
    <w:p w14:paraId="293978EC" w14:textId="5F8C9E3E" w:rsidR="00980F00" w:rsidRDefault="00980F00" w:rsidP="00B62BD4">
      <w:pPr>
        <w:pStyle w:val="ListParagraph"/>
        <w:numPr>
          <w:ilvl w:val="0"/>
          <w:numId w:val="15"/>
        </w:numPr>
      </w:pPr>
      <w:r>
        <w:t>Decision Tree performed moderately well (F1 score: 80.95%) but had more misclassifications compared to Random Forest, including 8 false positives and 8 false negatives, implying less stability in separating the two classes.</w:t>
      </w:r>
    </w:p>
    <w:p w14:paraId="1CE0C396" w14:textId="309F9275" w:rsidR="00980F00" w:rsidRDefault="00980F00" w:rsidP="00B62BD4">
      <w:pPr>
        <w:pStyle w:val="ListParagraph"/>
        <w:numPr>
          <w:ilvl w:val="0"/>
          <w:numId w:val="15"/>
        </w:numPr>
      </w:pPr>
      <w:r>
        <w:t>Naïve Bayes, despite having the highest precision (85.71%), had lower recall (71.43%), meaning it missed more abnormal cases (12 false negatives). This could be due to sensitivity to feature distributions, even after scaling.</w:t>
      </w:r>
    </w:p>
    <w:p w14:paraId="2E25A2A7" w14:textId="4A09D02D" w:rsidR="00980F00" w:rsidRDefault="00980F00" w:rsidP="009B0669">
      <w:pPr>
        <w:ind w:left="720"/>
      </w:pPr>
      <w:r>
        <w:t>Random Forest offers the most reliable predictions for abnormal cases, which is critical in medical contexts where missing an abnormal diagnosis is costly.</w:t>
      </w:r>
    </w:p>
    <w:p w14:paraId="1EFB4E47" w14:textId="77777777" w:rsidR="00F1601B" w:rsidRDefault="00F1601B" w:rsidP="00F1601B">
      <w:pPr>
        <w:ind w:left="360"/>
      </w:pPr>
      <w:r>
        <w:t>Multiclass Classification (df_3C — Normal, Hernia, Spondylolisthesis):</w:t>
      </w:r>
    </w:p>
    <w:p w14:paraId="29F6CCD1" w14:textId="48C55F26" w:rsidR="00F1601B" w:rsidRDefault="00F1601B" w:rsidP="00F1601B">
      <w:pPr>
        <w:pStyle w:val="ListParagraph"/>
        <w:numPr>
          <w:ilvl w:val="0"/>
          <w:numId w:val="16"/>
        </w:numPr>
        <w:ind w:left="1080"/>
      </w:pPr>
      <w:r>
        <w:t>Naïve Bayes performed best, with an accuracy of 88.71% and F1 score of 88.44%. The confusion matrix shows near-perfect classification of spondylolisthesis (class 2) and very few misclassifications among the other two classes, suggesting that the model benefited from well-scaled features and distinct class boundaries.</w:t>
      </w:r>
    </w:p>
    <w:p w14:paraId="7C1C2B4A" w14:textId="56E0001B" w:rsidR="00F1601B" w:rsidRDefault="00F1601B" w:rsidP="00F1601B">
      <w:pPr>
        <w:pStyle w:val="ListParagraph"/>
        <w:numPr>
          <w:ilvl w:val="0"/>
          <w:numId w:val="16"/>
        </w:numPr>
        <w:ind w:left="1080"/>
      </w:pPr>
      <w:r>
        <w:t>Random Forest also performed strongly (accuracy: 82.26%), especially in predicting spondylolisthesis, but showed some confusion between normal and hernia classes, as reflected by 5 hernia cases misclassified as normal.</w:t>
      </w:r>
    </w:p>
    <w:p w14:paraId="5FB5AD04" w14:textId="6A70FAB3" w:rsidR="00F1601B" w:rsidRDefault="00F1601B" w:rsidP="00F1601B">
      <w:pPr>
        <w:pStyle w:val="ListParagraph"/>
        <w:numPr>
          <w:ilvl w:val="0"/>
          <w:numId w:val="16"/>
        </w:numPr>
        <w:ind w:left="1080"/>
      </w:pPr>
      <w:r>
        <w:t>Decision Tree had the weakest performance (accuracy: 72.58%) and higher misclassification rates across all three classes, particularly mixing normal and hernia cases.</w:t>
      </w:r>
    </w:p>
    <w:p w14:paraId="57BB6B50" w14:textId="77777777" w:rsidR="00F1601B" w:rsidRDefault="00F1601B" w:rsidP="00F1601B"/>
    <w:p w14:paraId="063BF7AC" w14:textId="33624226" w:rsidR="00F1601B" w:rsidRDefault="00F1601B" w:rsidP="00F1601B">
      <w:pPr>
        <w:ind w:left="720"/>
      </w:pPr>
      <w:r>
        <w:t>Naïve Bayes effectively captures differences between all three classes and handles the multiclass task better, likely due to the clean feature preprocessing and its probabilistic nature.</w:t>
      </w:r>
    </w:p>
    <w:p w14:paraId="2079D35E" w14:textId="6EECFF9F" w:rsidR="00661259" w:rsidRDefault="00661259" w:rsidP="00C05D25">
      <w:pPr>
        <w:pStyle w:val="Heading1"/>
        <w:jc w:val="center"/>
      </w:pPr>
      <w:r w:rsidRPr="00F04ECC">
        <w:t>CONCLUSION</w:t>
      </w:r>
    </w:p>
    <w:p w14:paraId="1DCCEE4D" w14:textId="7EBA9630" w:rsidR="00FC2601" w:rsidRDefault="00FC2601" w:rsidP="00BA7612">
      <w:r>
        <w:t>For the binar</w:t>
      </w:r>
      <w:r w:rsidR="00C65140">
        <w:t>y (0/1)</w:t>
      </w:r>
      <w:r>
        <w:t xml:space="preserve"> classification task (df_2C), Random Forest outperformed other models with an accuracy of 80.65%, precision of 84.09%, recall of 88.10%, and an F1 score of 86.05%, making it the most effective at distinguishing between normal and abnormal cases.</w:t>
      </w:r>
    </w:p>
    <w:p w14:paraId="4AAFDDA1" w14:textId="59DEC222" w:rsidR="00C05D25" w:rsidRPr="00C05D25" w:rsidRDefault="00FC2601" w:rsidP="00BA7612">
      <w:r>
        <w:t>In the multiclass classification task (df_3C), Naïve Bayes achieved the best performance with an accuracy of 88.71%, precision of 88.36%, recall of 88.71%, and an F1 score of 88.44%, indicating strong and balanced classification across all three classes: normal, hernia, and spondylolisthesis.</w:t>
      </w:r>
    </w:p>
    <w:sectPr w:rsidR="00C05D25" w:rsidRPr="00C05D25" w:rsidSect="002029C2">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15EF"/>
    <w:multiLevelType w:val="hybridMultilevel"/>
    <w:tmpl w:val="72A8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31301"/>
    <w:multiLevelType w:val="hybridMultilevel"/>
    <w:tmpl w:val="FDCE64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B66FF0"/>
    <w:multiLevelType w:val="hybridMultilevel"/>
    <w:tmpl w:val="4F445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A210D"/>
    <w:multiLevelType w:val="hybridMultilevel"/>
    <w:tmpl w:val="442C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47B0A"/>
    <w:multiLevelType w:val="hybridMultilevel"/>
    <w:tmpl w:val="157EE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E048D1"/>
    <w:multiLevelType w:val="hybridMultilevel"/>
    <w:tmpl w:val="8312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47B6E"/>
    <w:multiLevelType w:val="hybridMultilevel"/>
    <w:tmpl w:val="0FE8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B04E6"/>
    <w:multiLevelType w:val="hybridMultilevel"/>
    <w:tmpl w:val="06845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10B2A"/>
    <w:multiLevelType w:val="hybridMultilevel"/>
    <w:tmpl w:val="E80A538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E612FD"/>
    <w:multiLevelType w:val="hybridMultilevel"/>
    <w:tmpl w:val="4458723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E825C9"/>
    <w:multiLevelType w:val="hybridMultilevel"/>
    <w:tmpl w:val="AB6239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C3FA6"/>
    <w:multiLevelType w:val="hybridMultilevel"/>
    <w:tmpl w:val="2292B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B20F36"/>
    <w:multiLevelType w:val="hybridMultilevel"/>
    <w:tmpl w:val="120CDAB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F21F2B"/>
    <w:multiLevelType w:val="hybridMultilevel"/>
    <w:tmpl w:val="7546A3AA"/>
    <w:lvl w:ilvl="0" w:tplc="FFFFFFFF">
      <w:start w:val="1"/>
      <w:numFmt w:val="upperRoman"/>
      <w:lvlText w:val="%1."/>
      <w:lvlJc w:val="righ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F5F0318"/>
    <w:multiLevelType w:val="hybridMultilevel"/>
    <w:tmpl w:val="BDACF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AB55F5"/>
    <w:multiLevelType w:val="hybridMultilevel"/>
    <w:tmpl w:val="CE76F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3169589">
    <w:abstractNumId w:val="1"/>
  </w:num>
  <w:num w:numId="2" w16cid:durableId="1745950085">
    <w:abstractNumId w:val="13"/>
  </w:num>
  <w:num w:numId="3" w16cid:durableId="200896697">
    <w:abstractNumId w:val="11"/>
  </w:num>
  <w:num w:numId="4" w16cid:durableId="922882356">
    <w:abstractNumId w:val="6"/>
  </w:num>
  <w:num w:numId="5" w16cid:durableId="1934393026">
    <w:abstractNumId w:val="10"/>
  </w:num>
  <w:num w:numId="6" w16cid:durableId="2000696442">
    <w:abstractNumId w:val="8"/>
  </w:num>
  <w:num w:numId="7" w16cid:durableId="747963819">
    <w:abstractNumId w:val="9"/>
  </w:num>
  <w:num w:numId="8" w16cid:durableId="1120034532">
    <w:abstractNumId w:val="12"/>
  </w:num>
  <w:num w:numId="9" w16cid:durableId="174539336">
    <w:abstractNumId w:val="3"/>
  </w:num>
  <w:num w:numId="10" w16cid:durableId="147284791">
    <w:abstractNumId w:val="2"/>
  </w:num>
  <w:num w:numId="11" w16cid:durableId="739861898">
    <w:abstractNumId w:val="7"/>
  </w:num>
  <w:num w:numId="12" w16cid:durableId="1431317594">
    <w:abstractNumId w:val="5"/>
  </w:num>
  <w:num w:numId="13" w16cid:durableId="1502887091">
    <w:abstractNumId w:val="15"/>
  </w:num>
  <w:num w:numId="14" w16cid:durableId="652561483">
    <w:abstractNumId w:val="4"/>
  </w:num>
  <w:num w:numId="15" w16cid:durableId="637296958">
    <w:abstractNumId w:val="14"/>
  </w:num>
  <w:num w:numId="16" w16cid:durableId="77216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59"/>
    <w:rsid w:val="00005C82"/>
    <w:rsid w:val="00041EBB"/>
    <w:rsid w:val="0004209F"/>
    <w:rsid w:val="00044717"/>
    <w:rsid w:val="0007522B"/>
    <w:rsid w:val="000804CA"/>
    <w:rsid w:val="000A322B"/>
    <w:rsid w:val="000A4D56"/>
    <w:rsid w:val="000B5960"/>
    <w:rsid w:val="000C4DBC"/>
    <w:rsid w:val="000E03D0"/>
    <w:rsid w:val="001167D2"/>
    <w:rsid w:val="001220B6"/>
    <w:rsid w:val="00163D55"/>
    <w:rsid w:val="00187B22"/>
    <w:rsid w:val="00192BBD"/>
    <w:rsid w:val="001949E0"/>
    <w:rsid w:val="001A24A8"/>
    <w:rsid w:val="001B7F77"/>
    <w:rsid w:val="001D0D20"/>
    <w:rsid w:val="001D5A09"/>
    <w:rsid w:val="001E071C"/>
    <w:rsid w:val="001E5F1C"/>
    <w:rsid w:val="002020DB"/>
    <w:rsid w:val="002029C2"/>
    <w:rsid w:val="00211B82"/>
    <w:rsid w:val="002149AB"/>
    <w:rsid w:val="00224CAC"/>
    <w:rsid w:val="002510A0"/>
    <w:rsid w:val="00261391"/>
    <w:rsid w:val="0028706B"/>
    <w:rsid w:val="002B1FD1"/>
    <w:rsid w:val="002B36FF"/>
    <w:rsid w:val="002B3CBB"/>
    <w:rsid w:val="002F7587"/>
    <w:rsid w:val="00303C29"/>
    <w:rsid w:val="00311B97"/>
    <w:rsid w:val="00323C98"/>
    <w:rsid w:val="0033646B"/>
    <w:rsid w:val="00357623"/>
    <w:rsid w:val="00380068"/>
    <w:rsid w:val="003A7F06"/>
    <w:rsid w:val="003B7E37"/>
    <w:rsid w:val="003C0D4E"/>
    <w:rsid w:val="004079EA"/>
    <w:rsid w:val="00424B52"/>
    <w:rsid w:val="00426101"/>
    <w:rsid w:val="0047051B"/>
    <w:rsid w:val="00475DB5"/>
    <w:rsid w:val="004E415A"/>
    <w:rsid w:val="004F1BDF"/>
    <w:rsid w:val="004F1BEF"/>
    <w:rsid w:val="004F7A2F"/>
    <w:rsid w:val="00505A51"/>
    <w:rsid w:val="00516FF2"/>
    <w:rsid w:val="00547810"/>
    <w:rsid w:val="0055085D"/>
    <w:rsid w:val="005653D1"/>
    <w:rsid w:val="00565448"/>
    <w:rsid w:val="005714F4"/>
    <w:rsid w:val="0058180E"/>
    <w:rsid w:val="005A002B"/>
    <w:rsid w:val="005C77B1"/>
    <w:rsid w:val="006007C8"/>
    <w:rsid w:val="0060707B"/>
    <w:rsid w:val="00615140"/>
    <w:rsid w:val="006204DD"/>
    <w:rsid w:val="0063632D"/>
    <w:rsid w:val="00650E5B"/>
    <w:rsid w:val="00654BA0"/>
    <w:rsid w:val="00661259"/>
    <w:rsid w:val="00661913"/>
    <w:rsid w:val="00667C44"/>
    <w:rsid w:val="00677E1C"/>
    <w:rsid w:val="00683D08"/>
    <w:rsid w:val="006874CE"/>
    <w:rsid w:val="006A4D3B"/>
    <w:rsid w:val="006A799C"/>
    <w:rsid w:val="006C3F88"/>
    <w:rsid w:val="006E1A1B"/>
    <w:rsid w:val="006E3E2E"/>
    <w:rsid w:val="006E5161"/>
    <w:rsid w:val="007325E8"/>
    <w:rsid w:val="0076001E"/>
    <w:rsid w:val="0079475C"/>
    <w:rsid w:val="00794A39"/>
    <w:rsid w:val="007A0DCB"/>
    <w:rsid w:val="007A3ED0"/>
    <w:rsid w:val="007A4A40"/>
    <w:rsid w:val="007E03E5"/>
    <w:rsid w:val="00833B26"/>
    <w:rsid w:val="00852BC0"/>
    <w:rsid w:val="008B01A2"/>
    <w:rsid w:val="008B6569"/>
    <w:rsid w:val="008B78A3"/>
    <w:rsid w:val="008D0F7A"/>
    <w:rsid w:val="008D105A"/>
    <w:rsid w:val="008E66AC"/>
    <w:rsid w:val="009245DD"/>
    <w:rsid w:val="0092666C"/>
    <w:rsid w:val="009273F0"/>
    <w:rsid w:val="00960D0D"/>
    <w:rsid w:val="00980F00"/>
    <w:rsid w:val="00981E81"/>
    <w:rsid w:val="00985747"/>
    <w:rsid w:val="00992DAC"/>
    <w:rsid w:val="009A7C7A"/>
    <w:rsid w:val="009B0669"/>
    <w:rsid w:val="009C3397"/>
    <w:rsid w:val="009C6518"/>
    <w:rsid w:val="009F2372"/>
    <w:rsid w:val="00A10516"/>
    <w:rsid w:val="00A653EC"/>
    <w:rsid w:val="00A711BD"/>
    <w:rsid w:val="00A82669"/>
    <w:rsid w:val="00A83B64"/>
    <w:rsid w:val="00A92825"/>
    <w:rsid w:val="00AB67D0"/>
    <w:rsid w:val="00AC3988"/>
    <w:rsid w:val="00AF5418"/>
    <w:rsid w:val="00B06759"/>
    <w:rsid w:val="00B25679"/>
    <w:rsid w:val="00B31F64"/>
    <w:rsid w:val="00B36689"/>
    <w:rsid w:val="00B62BD4"/>
    <w:rsid w:val="00B96AC7"/>
    <w:rsid w:val="00B9761F"/>
    <w:rsid w:val="00BA7612"/>
    <w:rsid w:val="00C04CE4"/>
    <w:rsid w:val="00C05D25"/>
    <w:rsid w:val="00C65140"/>
    <w:rsid w:val="00C96F57"/>
    <w:rsid w:val="00CD41C0"/>
    <w:rsid w:val="00CD6818"/>
    <w:rsid w:val="00D03BAC"/>
    <w:rsid w:val="00D42AF5"/>
    <w:rsid w:val="00D62FB6"/>
    <w:rsid w:val="00D726B0"/>
    <w:rsid w:val="00D76FCE"/>
    <w:rsid w:val="00D80D06"/>
    <w:rsid w:val="00D81CD5"/>
    <w:rsid w:val="00DB1943"/>
    <w:rsid w:val="00DB72D6"/>
    <w:rsid w:val="00DE74E3"/>
    <w:rsid w:val="00E326E7"/>
    <w:rsid w:val="00E32AF5"/>
    <w:rsid w:val="00E35924"/>
    <w:rsid w:val="00E56923"/>
    <w:rsid w:val="00E833E9"/>
    <w:rsid w:val="00EB04CF"/>
    <w:rsid w:val="00EC4352"/>
    <w:rsid w:val="00ED4920"/>
    <w:rsid w:val="00F04ECC"/>
    <w:rsid w:val="00F1601B"/>
    <w:rsid w:val="00F56F80"/>
    <w:rsid w:val="00F90840"/>
    <w:rsid w:val="00FA72A6"/>
    <w:rsid w:val="00FC2601"/>
    <w:rsid w:val="00FE244B"/>
    <w:rsid w:val="00FE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5B8"/>
  <w15:chartTrackingRefBased/>
  <w15:docId w15:val="{986E6C14-A71B-5E47-B5F5-EC834046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6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6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6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6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759"/>
    <w:rPr>
      <w:rFonts w:eastAsiaTheme="majorEastAsia" w:cstheme="majorBidi"/>
      <w:color w:val="272727" w:themeColor="text1" w:themeTint="D8"/>
    </w:rPr>
  </w:style>
  <w:style w:type="paragraph" w:styleId="Title">
    <w:name w:val="Title"/>
    <w:basedOn w:val="Normal"/>
    <w:next w:val="Normal"/>
    <w:link w:val="TitleChar"/>
    <w:uiPriority w:val="10"/>
    <w:qFormat/>
    <w:rsid w:val="00B06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7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759"/>
    <w:rPr>
      <w:i/>
      <w:iCs/>
      <w:color w:val="404040" w:themeColor="text1" w:themeTint="BF"/>
    </w:rPr>
  </w:style>
  <w:style w:type="paragraph" w:styleId="ListParagraph">
    <w:name w:val="List Paragraph"/>
    <w:basedOn w:val="Normal"/>
    <w:uiPriority w:val="34"/>
    <w:qFormat/>
    <w:rsid w:val="00B06759"/>
    <w:pPr>
      <w:ind w:left="720"/>
      <w:contextualSpacing/>
    </w:pPr>
  </w:style>
  <w:style w:type="character" w:styleId="IntenseEmphasis">
    <w:name w:val="Intense Emphasis"/>
    <w:basedOn w:val="DefaultParagraphFont"/>
    <w:uiPriority w:val="21"/>
    <w:qFormat/>
    <w:rsid w:val="00B06759"/>
    <w:rPr>
      <w:i/>
      <w:iCs/>
      <w:color w:val="0F4761" w:themeColor="accent1" w:themeShade="BF"/>
    </w:rPr>
  </w:style>
  <w:style w:type="paragraph" w:styleId="IntenseQuote">
    <w:name w:val="Intense Quote"/>
    <w:basedOn w:val="Normal"/>
    <w:next w:val="Normal"/>
    <w:link w:val="IntenseQuoteChar"/>
    <w:uiPriority w:val="30"/>
    <w:qFormat/>
    <w:rsid w:val="00B06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759"/>
    <w:rPr>
      <w:i/>
      <w:iCs/>
      <w:color w:val="0F4761" w:themeColor="accent1" w:themeShade="BF"/>
    </w:rPr>
  </w:style>
  <w:style w:type="character" w:styleId="IntenseReference">
    <w:name w:val="Intense Reference"/>
    <w:basedOn w:val="DefaultParagraphFont"/>
    <w:uiPriority w:val="32"/>
    <w:qFormat/>
    <w:rsid w:val="00B06759"/>
    <w:rPr>
      <w:b/>
      <w:bCs/>
      <w:smallCaps/>
      <w:color w:val="0F4761" w:themeColor="accent1" w:themeShade="BF"/>
      <w:spacing w:val="5"/>
    </w:rPr>
  </w:style>
  <w:style w:type="character" w:styleId="Hyperlink">
    <w:name w:val="Hyperlink"/>
    <w:basedOn w:val="DefaultParagraphFont"/>
    <w:uiPriority w:val="99"/>
    <w:unhideWhenUsed/>
    <w:rsid w:val="00303C29"/>
    <w:rPr>
      <w:color w:val="467886" w:themeColor="hyperlink"/>
      <w:u w:val="single"/>
    </w:rPr>
  </w:style>
  <w:style w:type="character" w:styleId="UnresolvedMention">
    <w:name w:val="Unresolved Mention"/>
    <w:basedOn w:val="DefaultParagraphFont"/>
    <w:uiPriority w:val="99"/>
    <w:semiHidden/>
    <w:unhideWhenUsed/>
    <w:rsid w:val="00303C29"/>
    <w:rPr>
      <w:color w:val="605E5C"/>
      <w:shd w:val="clear" w:color="auto" w:fill="E1DFDD"/>
    </w:rPr>
  </w:style>
  <w:style w:type="character" w:styleId="FollowedHyperlink">
    <w:name w:val="FollowedHyperlink"/>
    <w:basedOn w:val="DefaultParagraphFont"/>
    <w:uiPriority w:val="99"/>
    <w:semiHidden/>
    <w:unhideWhenUsed/>
    <w:rsid w:val="00303C29"/>
    <w:rPr>
      <w:color w:val="96607D" w:themeColor="followedHyperlink"/>
      <w:u w:val="single"/>
    </w:rPr>
  </w:style>
  <w:style w:type="table" w:styleId="TableGrid">
    <w:name w:val="Table Grid"/>
    <w:basedOn w:val="TableNormal"/>
    <w:uiPriority w:val="39"/>
    <w:rsid w:val="007A3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499">
      <w:bodyDiv w:val="1"/>
      <w:marLeft w:val="0"/>
      <w:marRight w:val="0"/>
      <w:marTop w:val="0"/>
      <w:marBottom w:val="0"/>
      <w:divBdr>
        <w:top w:val="none" w:sz="0" w:space="0" w:color="auto"/>
        <w:left w:val="none" w:sz="0" w:space="0" w:color="auto"/>
        <w:bottom w:val="none" w:sz="0" w:space="0" w:color="auto"/>
        <w:right w:val="none" w:sz="0" w:space="0" w:color="auto"/>
      </w:divBdr>
      <w:divsChild>
        <w:div w:id="530069258">
          <w:marLeft w:val="0"/>
          <w:marRight w:val="0"/>
          <w:marTop w:val="0"/>
          <w:marBottom w:val="0"/>
          <w:divBdr>
            <w:top w:val="none" w:sz="0" w:space="0" w:color="auto"/>
            <w:left w:val="none" w:sz="0" w:space="0" w:color="auto"/>
            <w:bottom w:val="none" w:sz="0" w:space="0" w:color="auto"/>
            <w:right w:val="none" w:sz="0" w:space="0" w:color="auto"/>
          </w:divBdr>
          <w:divsChild>
            <w:div w:id="3832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925">
      <w:bodyDiv w:val="1"/>
      <w:marLeft w:val="0"/>
      <w:marRight w:val="0"/>
      <w:marTop w:val="0"/>
      <w:marBottom w:val="0"/>
      <w:divBdr>
        <w:top w:val="none" w:sz="0" w:space="0" w:color="auto"/>
        <w:left w:val="none" w:sz="0" w:space="0" w:color="auto"/>
        <w:bottom w:val="none" w:sz="0" w:space="0" w:color="auto"/>
        <w:right w:val="none" w:sz="0" w:space="0" w:color="auto"/>
      </w:divBdr>
      <w:divsChild>
        <w:div w:id="1268236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76027528">
      <w:bodyDiv w:val="1"/>
      <w:marLeft w:val="0"/>
      <w:marRight w:val="0"/>
      <w:marTop w:val="0"/>
      <w:marBottom w:val="0"/>
      <w:divBdr>
        <w:top w:val="none" w:sz="0" w:space="0" w:color="auto"/>
        <w:left w:val="none" w:sz="0" w:space="0" w:color="auto"/>
        <w:bottom w:val="none" w:sz="0" w:space="0" w:color="auto"/>
        <w:right w:val="none" w:sz="0" w:space="0" w:color="auto"/>
      </w:divBdr>
    </w:div>
    <w:div w:id="1514878841">
      <w:bodyDiv w:val="1"/>
      <w:marLeft w:val="0"/>
      <w:marRight w:val="0"/>
      <w:marTop w:val="0"/>
      <w:marBottom w:val="0"/>
      <w:divBdr>
        <w:top w:val="none" w:sz="0" w:space="0" w:color="auto"/>
        <w:left w:val="none" w:sz="0" w:space="0" w:color="auto"/>
        <w:bottom w:val="none" w:sz="0" w:space="0" w:color="auto"/>
        <w:right w:val="none" w:sz="0" w:space="0" w:color="auto"/>
      </w:divBdr>
      <w:divsChild>
        <w:div w:id="1408771917">
          <w:marLeft w:val="0"/>
          <w:marRight w:val="0"/>
          <w:marTop w:val="0"/>
          <w:marBottom w:val="0"/>
          <w:divBdr>
            <w:top w:val="none" w:sz="0" w:space="0" w:color="auto"/>
            <w:left w:val="none" w:sz="0" w:space="0" w:color="auto"/>
            <w:bottom w:val="none" w:sz="0" w:space="0" w:color="auto"/>
            <w:right w:val="none" w:sz="0" w:space="0" w:color="auto"/>
          </w:divBdr>
          <w:divsChild>
            <w:div w:id="1631935294">
              <w:marLeft w:val="0"/>
              <w:marRight w:val="0"/>
              <w:marTop w:val="0"/>
              <w:marBottom w:val="0"/>
              <w:divBdr>
                <w:top w:val="none" w:sz="0" w:space="0" w:color="auto"/>
                <w:left w:val="none" w:sz="0" w:space="0" w:color="auto"/>
                <w:bottom w:val="none" w:sz="0" w:space="0" w:color="auto"/>
                <w:right w:val="none" w:sz="0" w:space="0" w:color="auto"/>
              </w:divBdr>
            </w:div>
            <w:div w:id="246883820">
              <w:marLeft w:val="0"/>
              <w:marRight w:val="0"/>
              <w:marTop w:val="0"/>
              <w:marBottom w:val="0"/>
              <w:divBdr>
                <w:top w:val="none" w:sz="0" w:space="0" w:color="auto"/>
                <w:left w:val="none" w:sz="0" w:space="0" w:color="auto"/>
                <w:bottom w:val="none" w:sz="0" w:space="0" w:color="auto"/>
                <w:right w:val="none" w:sz="0" w:space="0" w:color="auto"/>
              </w:divBdr>
            </w:div>
            <w:div w:id="1533226485">
              <w:marLeft w:val="0"/>
              <w:marRight w:val="0"/>
              <w:marTop w:val="0"/>
              <w:marBottom w:val="0"/>
              <w:divBdr>
                <w:top w:val="none" w:sz="0" w:space="0" w:color="auto"/>
                <w:left w:val="none" w:sz="0" w:space="0" w:color="auto"/>
                <w:bottom w:val="none" w:sz="0" w:space="0" w:color="auto"/>
                <w:right w:val="none" w:sz="0" w:space="0" w:color="auto"/>
              </w:divBdr>
            </w:div>
            <w:div w:id="763888465">
              <w:marLeft w:val="0"/>
              <w:marRight w:val="0"/>
              <w:marTop w:val="0"/>
              <w:marBottom w:val="0"/>
              <w:divBdr>
                <w:top w:val="none" w:sz="0" w:space="0" w:color="auto"/>
                <w:left w:val="none" w:sz="0" w:space="0" w:color="auto"/>
                <w:bottom w:val="none" w:sz="0" w:space="0" w:color="auto"/>
                <w:right w:val="none" w:sz="0" w:space="0" w:color="auto"/>
              </w:divBdr>
            </w:div>
            <w:div w:id="11242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8453">
      <w:bodyDiv w:val="1"/>
      <w:marLeft w:val="0"/>
      <w:marRight w:val="0"/>
      <w:marTop w:val="0"/>
      <w:marBottom w:val="0"/>
      <w:divBdr>
        <w:top w:val="none" w:sz="0" w:space="0" w:color="auto"/>
        <w:left w:val="none" w:sz="0" w:space="0" w:color="auto"/>
        <w:bottom w:val="none" w:sz="0" w:space="0" w:color="auto"/>
        <w:right w:val="none" w:sz="0" w:space="0" w:color="auto"/>
      </w:divBdr>
      <w:divsChild>
        <w:div w:id="343633857">
          <w:marLeft w:val="0"/>
          <w:marRight w:val="0"/>
          <w:marTop w:val="0"/>
          <w:marBottom w:val="0"/>
          <w:divBdr>
            <w:top w:val="none" w:sz="0" w:space="0" w:color="auto"/>
            <w:left w:val="none" w:sz="0" w:space="0" w:color="auto"/>
            <w:bottom w:val="none" w:sz="0" w:space="0" w:color="auto"/>
            <w:right w:val="none" w:sz="0" w:space="0" w:color="auto"/>
          </w:divBdr>
          <w:divsChild>
            <w:div w:id="1544251729">
              <w:marLeft w:val="0"/>
              <w:marRight w:val="0"/>
              <w:marTop w:val="0"/>
              <w:marBottom w:val="0"/>
              <w:divBdr>
                <w:top w:val="none" w:sz="0" w:space="0" w:color="auto"/>
                <w:left w:val="none" w:sz="0" w:space="0" w:color="auto"/>
                <w:bottom w:val="none" w:sz="0" w:space="0" w:color="auto"/>
                <w:right w:val="none" w:sz="0" w:space="0" w:color="auto"/>
              </w:divBdr>
            </w:div>
            <w:div w:id="1802577753">
              <w:marLeft w:val="0"/>
              <w:marRight w:val="0"/>
              <w:marTop w:val="0"/>
              <w:marBottom w:val="0"/>
              <w:divBdr>
                <w:top w:val="none" w:sz="0" w:space="0" w:color="auto"/>
                <w:left w:val="none" w:sz="0" w:space="0" w:color="auto"/>
                <w:bottom w:val="none" w:sz="0" w:space="0" w:color="auto"/>
                <w:right w:val="none" w:sz="0" w:space="0" w:color="auto"/>
              </w:divBdr>
            </w:div>
            <w:div w:id="400832288">
              <w:marLeft w:val="0"/>
              <w:marRight w:val="0"/>
              <w:marTop w:val="0"/>
              <w:marBottom w:val="0"/>
              <w:divBdr>
                <w:top w:val="none" w:sz="0" w:space="0" w:color="auto"/>
                <w:left w:val="none" w:sz="0" w:space="0" w:color="auto"/>
                <w:bottom w:val="none" w:sz="0" w:space="0" w:color="auto"/>
                <w:right w:val="none" w:sz="0" w:space="0" w:color="auto"/>
              </w:divBdr>
            </w:div>
            <w:div w:id="1321159615">
              <w:marLeft w:val="0"/>
              <w:marRight w:val="0"/>
              <w:marTop w:val="0"/>
              <w:marBottom w:val="0"/>
              <w:divBdr>
                <w:top w:val="none" w:sz="0" w:space="0" w:color="auto"/>
                <w:left w:val="none" w:sz="0" w:space="0" w:color="auto"/>
                <w:bottom w:val="none" w:sz="0" w:space="0" w:color="auto"/>
                <w:right w:val="none" w:sz="0" w:space="0" w:color="auto"/>
              </w:divBdr>
            </w:div>
            <w:div w:id="19522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455">
      <w:bodyDiv w:val="1"/>
      <w:marLeft w:val="0"/>
      <w:marRight w:val="0"/>
      <w:marTop w:val="0"/>
      <w:marBottom w:val="0"/>
      <w:divBdr>
        <w:top w:val="none" w:sz="0" w:space="0" w:color="auto"/>
        <w:left w:val="none" w:sz="0" w:space="0" w:color="auto"/>
        <w:bottom w:val="none" w:sz="0" w:space="0" w:color="auto"/>
        <w:right w:val="none" w:sz="0" w:space="0" w:color="auto"/>
      </w:divBdr>
      <w:divsChild>
        <w:div w:id="151917001">
          <w:marLeft w:val="0"/>
          <w:marRight w:val="0"/>
          <w:marTop w:val="0"/>
          <w:marBottom w:val="0"/>
          <w:divBdr>
            <w:top w:val="none" w:sz="0" w:space="0" w:color="auto"/>
            <w:left w:val="none" w:sz="0" w:space="0" w:color="auto"/>
            <w:bottom w:val="none" w:sz="0" w:space="0" w:color="auto"/>
            <w:right w:val="none" w:sz="0" w:space="0" w:color="auto"/>
          </w:divBdr>
          <w:divsChild>
            <w:div w:id="18911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212/vertebral+column" TargetMode="External"/><Relationship Id="rId11" Type="http://schemas.openxmlformats.org/officeDocument/2006/relationships/theme" Target="theme/theme1.xml"/><Relationship Id="rId5" Type="http://schemas.openxmlformats.org/officeDocument/2006/relationships/hyperlink" Target="https://www.kaggle.com/datasets/uciml/biomechanical-features-of-orthopedic-pati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Keene Chung</dc:creator>
  <cp:keywords/>
  <dc:description/>
  <cp:lastModifiedBy>Keene Chung</cp:lastModifiedBy>
  <cp:revision>159</cp:revision>
  <dcterms:created xsi:type="dcterms:W3CDTF">2025-04-28T20:14:00Z</dcterms:created>
  <dcterms:modified xsi:type="dcterms:W3CDTF">2025-04-30T19:33:00Z</dcterms:modified>
</cp:coreProperties>
</file>