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270"/>
        <w:tblGridChange w:id="0">
          <w:tblGrid>
            <w:gridCol w:w="2925"/>
            <w:gridCol w:w="327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Please check your payslip for {{month}}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Payment date: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{{paymentDate}}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 period start: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{{payPeriodStart}}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Pay period end: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{{payPeriodEnd}}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Forex rate per 1 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{{cur__forexRate}}</w:t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i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18"/>
                <w:szCs w:val="18"/>
                <w:rtl w:val="0"/>
              </w:rPr>
              <w:t xml:space="preserve">Forex rate is calculated by dividing income in UAH by USD we were selling during the same month. Feel free to contact CEO for more details.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i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Amount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Monthly Earning ({{coef}}*{{cur__wage}})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{{cur__wages}}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Overtime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{{cur__overtimeEarnings}}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{{cur__otherEarnings}}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 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{{cur__totalEarnings}}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Amount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Unified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{{deduction__unifiedTax}}</w:t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Unified Social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{{deduction__unifiedSocialFee}}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Bank Fees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{{deduction__bankFees}}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Accounting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{{deduction__accountingService}}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{{deduction__advance}}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{{deduction__others}}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 Deductions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{{deduction__total}}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{{cur__takeHome__USD}}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Take Home Pay UAH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{{cur__takeHomePayment}}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