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pPr>
        <w:jc w:val="both"/>
      </w:pPr>
      <w:r>
        <w:rPr/>
        <w:t>This document describes the proposed network security design for the Contoso pre-production web applications. It records the current configuration as of 24-Sep-2026, the target design and the changes needed to implement it.</w:t>
      </w:r>
    </w:p>
    <w:p>
      <w:pPr>
        <w:pStyle w:val="Heading1"/>
      </w:pPr>
      <w:r>
        <w:t>Scope</w:t>
      </w:r>
    </w:p>
    <w:p>
      <w:pPr>
        <w:jc w:val="both"/>
      </w:pPr>
      <w:r>
        <w:rPr>
          <w:b/>
        </w:rPr>
        <w:t>In scope</w:t>
      </w:r>
    </w:p>
    <w:p>
      <w:pPr>
        <w:pStyle w:val="ListBullet2"/>
      </w:pPr>
      <w:r>
        <w:rPr/>
        <w:t>The three web applications and their private endpoints.</w:t>
      </w:r>
    </w:p>
    <w:p>
      <w:pPr>
        <w:pStyle w:val="ListBullet2"/>
      </w:pPr>
      <w:r>
        <w:rPr/>
        <w:t>Network security groups and application security groups in the spoke VNet.</w:t>
      </w:r>
    </w:p>
    <w:p>
      <w:pPr>
        <w:jc w:val="both"/>
      </w:pPr>
      <w:r>
        <w:rPr>
          <w:b/>
        </w:rPr>
        <w:t>Out of scope</w:t>
      </w:r>
    </w:p>
    <w:p>
      <w:pPr>
        <w:pStyle w:val="ListBullet2"/>
      </w:pPr>
      <w:r>
        <w:rPr/>
        <w:t>Hub network resources, which are managed by the hub team.</w:t>
      </w:r>
    </w:p>
    <w:p>
      <w:pPr>
        <w:pStyle w:val="Heading1"/>
      </w:pPr>
      <w:r>
        <w:t>Current State</w:t>
      </w:r>
    </w:p>
    <w:p>
      <w:pPr>
        <w:jc w:val="both"/>
      </w:pPr>
      <w:r>
        <w:rPr/>
        <w:t>This section summarises the configuration of the pre-production subscription as of 24-Sep-2026.</w:t>
      </w:r>
    </w:p>
    <w:tbl>
      <w:tblPr>
        <w:tblW w:type="auto" w:w="0"/>
        <w:tblLook w:firstColumn="1" w:firstRow="1" w:lastColumn="0" w:lastRow="0" w:noHBand="0" w:noVBand="1" w:val="04A0"/>
        <w:tblW w:w="8640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ayout w:type="fixed"/>
      </w:tblPr>
      <w:tblGrid>
        <w:gridCol w:w="3888"/>
        <w:gridCol w:w="2160"/>
        <w:gridCol w:w="2592"/>
      </w:tblGrid>
      <w:tr>
        <w:trPr>
          <w:tblHeader/>
        </w:trPr>
        <w:tc>
          <w:tcPr>
            <w:tcW w:type="dxa" w:w="3888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Public access</w:t>
            </w:r>
          </w:p>
        </w:tc>
        <w:tc>
          <w:tcPr>
            <w:tcW w:type="dxa" w:w="2592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Private endpoint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app-contoso-portal, Web app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Disabled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10.20.1.4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sql-contoso-data, Azure SQL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Enabled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10.20.1.5</w:t>
            </w:r>
          </w:p>
        </w:tc>
      </w:tr>
    </w:tbl>
    <w:p>
      <w:pPr/>
    </w:p>
    <w:tbl>
      <w:tblPr>
        <w:tblW w:type="auto" w:w="0"/>
        <w:tblLook w:firstColumn="1" w:firstRow="1" w:lastColumn="0" w:lastRow="0" w:noHBand="0" w:noVBand="1" w:val="04A0"/>
        <w:tblW w:w="8640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ayout w:type="fixed"/>
      </w:tblPr>
      <w:tblGrid>
        <w:gridCol w:w="432"/>
        <w:gridCol w:w="5184"/>
        <w:gridCol w:w="3024"/>
      </w:tblGrid>
      <w:tr>
        <w:tc>
          <w:tcPr>
            <w:tcW w:type="dxa" w:w="8640"/>
            <w:gridSpan w:val="3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Table 1: Findings</w:t>
            </w:r>
          </w:p>
        </w:tc>
      </w:tr>
      <w:tr>
        <w:trPr>
          <w:tblHeader/>
        </w:trPr>
        <w:tc>
          <w:tcPr>
            <w:tcW w:type="dxa" w:w="432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#</w:t>
            </w:r>
          </w:p>
        </w:tc>
        <w:tc>
          <w:tcPr>
            <w:tcW w:type="dxa" w:w="5184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024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1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sql-contoso-data allows public access with the ‘Allow Azure services’ rule.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Any Azure resource can reach the public endpoint, regardless of subscription.</w:t>
            </w:r>
          </w:p>
        </w:tc>
      </w:tr>
    </w:tbl>
    <w:p>
      <w:pPr/>
    </w:p>
    <w:p>
      <w:pPr>
        <w:pStyle w:val="Heading1"/>
      </w:pPr>
      <w:r>
        <w:t>Proposed Architecture</w:t>
      </w:r>
    </w:p>
    <w:p>
      <w:pPr>
        <w:jc w:val="both"/>
      </w:pPr>
      <w:r>
        <w:rPr/>
        <w:t>Internet traffic enters through an Application Gateway with WAF. We recommend keeping the database private and removing the public firewall rules once the application teams confirm their dependencies.</w:t>
      </w:r>
    </w:p>
    <w:p>
      <w:pPr>
        <w:pStyle w:val="Heading1"/>
      </w:pPr>
      <w:r>
        <w:t>Implementation Plan</w:t>
      </w:r>
    </w:p>
    <w:tbl>
      <w:tblPr>
        <w:tblW w:type="auto" w:w="0"/>
        <w:tblLook w:firstColumn="1" w:firstRow="1" w:lastColumn="0" w:lastRow="0" w:noHBand="0" w:noVBand="1" w:val="04A0"/>
        <w:tblW w:w="8640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ayout w:type="fixed"/>
      </w:tblPr>
      <w:tblGrid>
        <w:gridCol w:w="432"/>
        <w:gridCol w:w="6480"/>
        <w:gridCol w:w="1728"/>
      </w:tblGrid>
      <w:tr>
        <w:trPr>
          <w:tblHeader/>
        </w:trPr>
        <w:tc>
          <w:tcPr>
            <w:tcW w:type="dxa" w:w="432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728"/>
            <w:shd w:val="clear" w:color="auto" w:fill="365F91"/>
          </w:tcPr>
          <w:p>
            <w:pPr>
              <w:keepNext/>
              <w:spacing w:after="40"/>
            </w:pPr>
            <w:r>
              <w:rPr>
                <w:rFonts w:asciiTheme="minorHAnsi" w:hAnsiTheme="minorHAnsi" w:cstheme="minorHAns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1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Disable public access on sql-contoso-data and remove the ‘Allow Azure services’ rule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Theme="minorHAnsi" w:hAnsiTheme="minorHAnsi" w:cstheme="minorHAnsi"/>
                <w:sz w:val="19"/>
              </w:rPr>
              <w:t>Cloud team</w:t>
            </w:r>
          </w:p>
        </w:tc>
      </w:tr>
    </w:tbl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