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color w:val="3A2366"/>
                <w:sz w:val="20"/>
                <w:szCs w:val="20"/>
              </w:rPr>
              <w:t xml:space="preserve">Key Projects</w:t>
            </w:r>
          </w:p>
          <w:p>
            <w:r>
              <w:rPr>
                <w:color w:val="3A2366"/>
                <w:sz w:val="16"/>
                <w:szCs w:val="16"/>
              </w:rPr>
              <w:t xml:space="preserve">Core technical and organizational engagements with high responsibility.</w:t>
            </w:r>
          </w:p>
          <w:p>
            <w:r>
              <w:rPr>
                <w:b/>
                <w:bCs/>
                <w:sz w:val="20"/>
                <w:szCs w:val="20"/>
              </w:rPr>
              <w:t xml:space="preserve">Middleware &amp; IPv6 Migration Expert</w:t>
            </w:r>
          </w:p>
          <w:p>
            <w:r>
              <w:rPr>
                <w:i/>
                <w:iCs/>
                <w:color w:val="1B6E5A"/>
                <w:sz w:val="18"/>
                <w:szCs w:val="18"/>
              </w:rPr>
              <w:t xml:space="preserve">Confidential Client</w:t>
            </w:r>
            <w:r>
              <w:rPr>
                <w:color w:val="3A2366"/>
                <w:sz w:val="18"/>
                <w:szCs w:val="18"/>
              </w:rPr>
              <w:t xml:space="preserve"> — May 2026 - Present</w:t>
            </w:r>
          </w:p>
          <w:p>
            <w:pPr>
              <w:spacing w:after="100"/>
            </w:pPr>
            <w:r>
              <w:rPr>
                <w:color w:val="3A2366"/>
                <w:sz w:val="18"/>
                <w:szCs w:val="18"/>
              </w:rPr>
              <w:t xml:space="preserve">Remote / Germany</w:t>
            </w:r>
          </w:p>
          <w:p>
            <w:pPr>
              <w:pStyle w:val="ListParagraph"/>
              <w:numPr>
                <w:ilvl w:val="0"/>
                <w:numId w:val="1"/>
              </w:numPr>
            </w:pPr>
            <w:r>
              <w:rPr>
                <w:b w:val="false"/>
                <w:bCs w:val="false"/>
                <w:color w:val="07090B"/>
                <w:sz w:val="18"/>
                <w:szCs w:val="18"/>
              </w:rPr>
              <w:t xml:space="preserve">Provides technical guidance for the migration of specialist applications from IPv4 environments to IPv6-ready dual-stack operation.</w:t>
            </w:r>
          </w:p>
          <w:p>
            <w:pPr>
              <w:pStyle w:val="ListParagraph"/>
              <w:numPr>
                <w:ilvl w:val="0"/>
                <w:numId w:val="1"/>
              </w:numPr>
            </w:pPr>
            <w:r>
              <w:rPr>
                <w:b w:val="false"/>
                <w:bCs w:val="false"/>
                <w:color w:val="07090B"/>
                <w:sz w:val="18"/>
                <w:szCs w:val="18"/>
              </w:rPr>
              <w:t xml:space="preserve">Analyzes application dependencies, middleware components, database connections, and operational constraints to assess migration readiness.</w:t>
            </w:r>
          </w:p>
          <w:p>
            <w:pPr>
              <w:pStyle w:val="ListParagraph"/>
              <w:numPr>
                <w:ilvl w:val="0"/>
                <w:numId w:val="1"/>
              </w:numPr>
            </w:pPr>
            <w:r>
              <w:rPr>
                <w:b w:val="false"/>
                <w:bCs w:val="false"/>
                <w:color w:val="07090B"/>
                <w:sz w:val="18"/>
                <w:szCs w:val="18"/>
              </w:rPr>
              <w:t xml:space="preserve">Develops migration plans for individual and clustered applications, coordinating closely with application owners, IT operations, and quality assurance teams.</w:t>
            </w:r>
          </w:p>
          <w:p>
            <w:pPr>
              <w:pStyle w:val="ListParagraph"/>
              <w:numPr>
                <w:ilvl w:val="0"/>
                <w:numId w:val="1"/>
              </w:numPr>
            </w:pPr>
            <w:r>
              <w:rPr>
                <w:b w:val="false"/>
                <w:bCs w:val="false"/>
                <w:color w:val="07090B"/>
                <w:sz w:val="18"/>
                <w:szCs w:val="18"/>
              </w:rPr>
              <w:t xml:space="preserve">Validates dual-stack capability, IPv6 functionality, security requirements, and documentation quality for reliable migration execution.</w:t>
            </w:r>
          </w:p>
          <w:p>
            <w:pPr>
              <w:pStyle w:val="ListParagraph"/>
              <w:numPr>
                <w:ilvl w:val="0"/>
                <w:numId w:val="1"/>
              </w:numPr>
            </w:pPr>
            <w:r>
              <w:rPr>
                <w:b/>
                <w:bCs/>
                <w:color w:val="1B6E5A"/>
                <w:sz w:val="18"/>
                <w:szCs w:val="18"/>
              </w:rPr>
              <w:t xml:space="preserve">Achievement: Supports a large-scale, multi-application IPv6 transition with structured readiness assessments, migration documentation, and stakeholder communication.</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Implementation of IPv6 across the organization, future-proofing the network.</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Network Administrator (Palo Alto / Fortinet)</w:t>
            </w:r>
          </w:p>
          <w:p>
            <w:r>
              <w:rPr>
                <w:i/>
                <w:iCs/>
                <w:color w:val="1B6E5A"/>
                <w:sz w:val="18"/>
                <w:szCs w:val="18"/>
              </w:rPr>
              <w:t xml:space="preserve">St. Dominikus Krankenhaus und Jugendhilfe gGmbH</w:t>
            </w:r>
            <w:r>
              <w:rPr>
                <w:color w:val="3A2366"/>
                <w:sz w:val="18"/>
                <w:szCs w:val="18"/>
              </w:rPr>
              <w:t xml:space="preserve"> — Feb 2026 - Apr 2026</w:t>
            </w:r>
          </w:p>
          <w:p>
            <w:pPr>
              <w:spacing w:after="100"/>
            </w:pPr>
            <w:r>
              <w:rPr>
                <w:color w:val="3A2366"/>
                <w:sz w:val="18"/>
                <w:szCs w:val="18"/>
              </w:rPr>
              <w:t xml:space="preserve">Ludwigshafen, Germany</w:t>
            </w:r>
          </w:p>
          <w:p>
            <w:pPr>
              <w:pStyle w:val="ListParagraph"/>
              <w:numPr>
                <w:ilvl w:val="0"/>
                <w:numId w:val="1"/>
              </w:numPr>
            </w:pPr>
            <w:r>
              <w:rPr>
                <w:b w:val="false"/>
                <w:bCs w:val="false"/>
                <w:color w:val="07090B"/>
                <w:sz w:val="18"/>
                <w:szCs w:val="18"/>
              </w:rPr>
              <w:t xml:space="preserve">Responsible for high availability and secure operation of LAN, WLAN, and VPN services for medical and administrative environments.</w:t>
            </w:r>
          </w:p>
          <w:p>
            <w:pPr>
              <w:pStyle w:val="ListParagraph"/>
              <w:numPr>
                <w:ilvl w:val="0"/>
                <w:numId w:val="1"/>
              </w:numPr>
            </w:pPr>
            <w:r>
              <w:rPr>
                <w:b w:val="false"/>
                <w:bCs w:val="false"/>
                <w:color w:val="07090B"/>
                <w:sz w:val="18"/>
                <w:szCs w:val="18"/>
              </w:rPr>
              <w:t xml:space="preserve">Operate and maintain network infrastructure including switches, routers, firewalls, and VLAN segmentation for different hospital areas.</w:t>
            </w:r>
          </w:p>
          <w:p>
            <w:pPr>
              <w:pStyle w:val="ListParagraph"/>
              <w:numPr>
                <w:ilvl w:val="0"/>
                <w:numId w:val="1"/>
              </w:numPr>
            </w:pPr>
            <w:r>
              <w:rPr>
                <w:b w:val="false"/>
                <w:bCs w:val="false"/>
                <w:color w:val="07090B"/>
                <w:sz w:val="18"/>
                <w:szCs w:val="18"/>
              </w:rPr>
              <w:t xml:space="preserve">Implement security controls and policies aligned with ISO 27001, BSI baseline protection, GDPR, and sector-specific requirements.</w:t>
            </w:r>
          </w:p>
          <w:p>
            <w:pPr>
              <w:pStyle w:val="ListParagraph"/>
              <w:numPr>
                <w:ilvl w:val="0"/>
                <w:numId w:val="1"/>
              </w:numPr>
            </w:pPr>
            <w:r>
              <w:rPr>
                <w:b w:val="false"/>
                <w:bCs w:val="false"/>
                <w:color w:val="07090B"/>
                <w:sz w:val="18"/>
                <w:szCs w:val="18"/>
              </w:rPr>
              <w:t xml:space="preserve">Monitor network performance and fault tolerance for critical systems and provide rapid troubleshooting in incident scenarios.</w:t>
            </w:r>
          </w:p>
          <w:p>
            <w:pPr>
              <w:pStyle w:val="ListParagraph"/>
              <w:numPr>
                <w:ilvl w:val="0"/>
                <w:numId w:val="1"/>
              </w:numPr>
            </w:pPr>
            <w:r>
              <w:rPr>
                <w:b w:val="false"/>
                <w:bCs w:val="false"/>
                <w:color w:val="07090B"/>
                <w:sz w:val="18"/>
                <w:szCs w:val="18"/>
              </w:rPr>
              <w:t xml:space="preserve">Integrate medical devices into hospital network environments and ensure secure interoperability with clinical information systems.</w:t>
            </w:r>
          </w:p>
          <w:p>
            <w:pPr>
              <w:pStyle w:val="ListParagraph"/>
              <w:numPr>
                <w:ilvl w:val="0"/>
                <w:numId w:val="1"/>
              </w:numPr>
            </w:pPr>
            <w:r>
              <w:rPr>
                <w:b/>
                <w:bCs/>
                <w:color w:val="1B6E5A"/>
                <w:sz w:val="18"/>
                <w:szCs w:val="18"/>
              </w:rPr>
              <w:t xml:space="preserve">Achievement: Currently migrating IPSec VPN tunnels from Cisco to Palo Alto with phased cutover planning and no service disruption.</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Pr>
              <w:pStyle w:val="ListParagraph"/>
              <w:numPr>
                <w:ilvl w:val="0"/>
                <w:numId w:val="1"/>
              </w:numPr>
            </w:pPr>
            <w:r>
              <w:rPr>
                <w:b/>
                <w:bCs/>
                <w:color w:val="1B6E5A"/>
                <w:sz w:val="18"/>
                <w:szCs w:val="18"/>
              </w:rPr>
              <w:t xml:space="preserve">Achievement: Design and implementation of IPv6 at the network perimeter to ensure external accessibility.</w:t>
            </w:r>
          </w:p>
          <w:p/>
          <w:p>
            <w:r>
              <w:rPr>
                <w:b/>
                <w:bCs/>
                <w:color w:val="3A2366"/>
                <w:sz w:val="20"/>
                <w:szCs w:val="20"/>
              </w:rPr>
              <w:t xml:space="preserve">Additional Projects</w:t>
            </w:r>
          </w:p>
          <w:p>
            <w:r>
              <w:rPr>
                <w:color w:val="3A2366"/>
                <w:sz w:val="16"/>
                <w:szCs w:val="16"/>
              </w:rPr>
              <w:t xml:space="preserve">Complementary or specialized projects with flexible scope.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(IPv6, Zero Trust, Zero-Config VPN, etc.)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SchlauFabrik – Multi-tenant Compliance &amp; AI Training Platform</w:t>
            </w:r>
          </w:p>
          <w:p>
            <w:r>
              <w:rPr>
                <w:i/>
                <w:iCs/>
                <w:color w:val="1B6E5A"/>
                <w:sz w:val="18"/>
                <w:szCs w:val="18"/>
              </w:rPr>
              <w:t xml:space="preserve">xtensible UG (haftungsbeschränkt) &amp; Co. KG</w:t>
            </w:r>
            <w:r>
              <w:rPr>
                <w:color w:val="3A2366"/>
                <w:sz w:val="18"/>
                <w:szCs w:val="18"/>
              </w:rPr>
              <w:t xml:space="preserve"> — December 2025 -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Designed and built a modern, responsive training platform for compliance and AI topics (SME-focused) with tenant isolation and role-based access.</w:t>
            </w:r>
          </w:p>
          <w:p>
            <w:pPr>
              <w:pStyle w:val="ListParagraph"/>
              <w:numPr>
                <w:ilvl w:val="0"/>
                <w:numId w:val="1"/>
              </w:numPr>
            </w:pPr>
            <w:r>
              <w:rPr>
                <w:b w:val="false"/>
                <w:bCs w:val="false"/>
                <w:color w:val="07090B"/>
                <w:sz w:val="18"/>
                <w:szCs w:val="18"/>
              </w:rPr>
              <w:t xml:space="preserve">Implemented security-by-design with Postgres Row-Level Security, audit logging, rate limiting, and hardened authentication flows (Passkey/Magic Link/2FA/SSO).</w:t>
            </w:r>
          </w:p>
          <w:p>
            <w:pPr>
              <w:pStyle w:val="ListParagraph"/>
              <w:numPr>
                <w:ilvl w:val="0"/>
                <w:numId w:val="1"/>
              </w:numPr>
            </w:pPr>
            <w:r>
              <w:rPr>
                <w:b w:val="false"/>
                <w:bCs w:val="false"/>
                <w:color w:val="07090B"/>
                <w:sz w:val="18"/>
                <w:szCs w:val="18"/>
              </w:rPr>
              <w:t xml:space="preserve">Built course delivery with progress tracking, quizzes, enrollments, and admin dashboards for tenant/user management.</w:t>
            </w:r>
          </w:p>
          <w:p>
            <w:pPr>
              <w:pStyle w:val="ListParagraph"/>
              <w:numPr>
                <w:ilvl w:val="0"/>
                <w:numId w:val="1"/>
              </w:numPr>
            </w:pPr>
            <w:r>
              <w:rPr>
                <w:b w:val="false"/>
                <w:bCs w:val="false"/>
                <w:color w:val="07090B"/>
                <w:sz w:val="18"/>
                <w:szCs w:val="18"/>
              </w:rPr>
              <w:t xml:space="preserve">Delivered tamper-evident PDF certificates with QR verification and cryptographic hashing; enabled bulk export for audits.</w:t>
            </w:r>
          </w:p>
          <w:p>
            <w:pPr>
              <w:pStyle w:val="ListParagraph"/>
              <w:numPr>
                <w:ilvl w:val="0"/>
                <w:numId w:val="1"/>
              </w:numPr>
            </w:pPr>
            <w:r>
              <w:rPr>
                <w:b w:val="false"/>
                <w:bCs w:val="false"/>
                <w:color w:val="07090B"/>
                <w:sz w:val="18"/>
                <w:szCs w:val="18"/>
              </w:rPr>
              <w:t xml:space="preserve">Integrated Stripe billing (subscriptions, portal, webhooks) with license models and soft-lock mechanisms for tenant limits.</w:t>
            </w:r>
          </w:p>
          <w:p>
            <w:pPr>
              <w:pStyle w:val="ListParagraph"/>
              <w:numPr>
                <w:ilvl w:val="0"/>
                <w:numId w:val="1"/>
              </w:numPr>
            </w:pPr>
            <w:r>
              <w:rPr>
                <w:b w:val="false"/>
                <w:bCs w:val="false"/>
                <w:color w:val="07090B"/>
                <w:sz w:val="18"/>
                <w:szCs w:val="18"/>
              </w:rPr>
              <w:t xml:space="preserve">Tech: Next.js (App Router), TypeScript, Bun, Tailwind, next-intl (DE/EN), Neon Postgres, Stripe, Resend, Vitest/Playwright.</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June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94afc7fb415d2dc92ff16f3fbe8c21c79fa0dba5.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2026-06-04T03:14:28.148Z</dcterms:created>
  <dcterms:modified xsi:type="dcterms:W3CDTF">2026-06-04T03:14:28.148Z</dcterms:modified>
</cp:coreProperties>
</file>

<file path=docProps/custom.xml><?xml version="1.0" encoding="utf-8"?>
<Properties xmlns="http://schemas.openxmlformats.org/officeDocument/2006/custom-properties" xmlns:vt="http://schemas.openxmlformats.org/officeDocument/2006/docPropsVTypes"/>
</file>