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07090B"/>
                <w:sz w:val="44"/>
                <w:szCs w:val="44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verfüge über langjährige Erfahrung in der System- und Netzwerkadministration, mit Schwerpunkt auf dem Design und der Absicherung komplexer, redundanter Infrastrukturen. Dazu zählen professionelles Firewall-Management, die Planung sicherer Netzwerkarchitekturen sowie fundierte Kenntnisse klassischer und anspruchsvoller Protokolle und Plattformen. Ergänzend bringe ich umfangreiche Praxis in der Linux-Administration, in sicherheitsorientierten Betriebsprozessen und im Aufbau strukturierter Security-Mechanismen wie IAM, ISMS sowie Incident- und Vulnerability-Management mit.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Als erfahrener IT-Engineer mit über 18 Jahren Praxis in Enterprise-Umgebungen verbinde ich tiefes technisches Know-how mit einem klaren Fokus auf Informationssicherheit und robuste Betriebsprozesse. Mein Schwerpunkt liegt auf der Gestaltung, dem Betrieb und der Absicherung komplexer Netzwerk- und Plattformarchitekturen. Dazu gehören insbesondere Firewall-Management, die Planung sicherer und segmentierter Netzwerke sowie umfangreiche Kenntnisse zu klassischen und auch exotischen Netzwerkprotokollen und verschiedensten Netzwerkprodukten.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Neben meiner Netzwerkerfahrung arbeite ich seit vielen Jahren intensiv mit Linux-Systemen und betreue sowohl klassische Serverumgebungen als auch containerisierte Plattformen. Diese technische Grundlage kombiniere ich mit strukturierten Ansätzen aus dem Informationssicherheitsmanagement, der Entwicklung von Security-Policies und dem Aufbau wirksamer Sicherheitsprozesse.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Security &amp; Compliance /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Informationssicherheitsmanagement (ISMS)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von Sicherheitsrichtlinien (Policies, SOPs, Verfahrensanweisungen)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Ableitung und Umsetzung organisatorischer und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Kontinuierliche Weiterentwicklung sicherer Betriebsprozesse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Security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Definition und Etablierung von Sicherheitsstandards für Infrastruktur- und Plattformbetrieb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Dokumentation, Prozessgestaltung und Sicherstellung einer einheitlichen Policy-Anwendung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Erstellung und Pflege sicherheitsrelevanter Betriebskonzepte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BSI IT-Grundschutz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Nutzung der Grundschutz-Methodik zur Strukturierung und Bewertung von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Unterstützung beim Aufbau sicherer Betriebsprozesse nach anerkannten Standards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Identity &amp; Access Management (IAM)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Rollen- und Berechtigungskonzepte (RBAC)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Rechteprüfung, Rezertifizierung und Funktionstrennung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Privileged Access Management (PAM)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Incident &amp; Vulnerability Management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strukturierter Prozesse für Incidents &amp; Security Findings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Priorisierung, Bearbeitung und Dokumentation sicherheitsrelevanter Vorfälle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Operatives Schwachstellenmanagement (inkl. Patch-Planung und Follow-up)</w:t>
            </w:r>
          </w:p>
          <w:p/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Schlüsselprojekte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Wesentliche technische und organisatorische Engagements mit hoher Verantwortung.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Middleware- &amp; IPv6-Migrationsexperte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Confidential Client</w:t>
            </w:r>
            <w:r>
              <w:rPr>
                <w:color w:val="3A2366"/>
                <w:sz w:val="18"/>
                <w:szCs w:val="18"/>
              </w:rPr>
              <w:t xml:space="preserve"> — Mai 2026 -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Remote /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Technische Begleitung der Migration von Fachverfahren aus IPv4-Umgebungen in einen IPv6-fähigen Dual-Stack-Betrieb.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Analyse von Anwendungsabhängigkeiten, Middleware-Komponenten, Datenbankanbindungen und betrieblichen Rahmenbedingungen zur Bewertung der Migrationsbereitschaft.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von Migrationsplänen für einzelne und geclusterte Fachverfahren in enger Abstimmung mit Fachverfahrensverantwortlichen, IT-Betrieb und Qualitätssicherung.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Validierung von Dual-Stack-Fähigkeit, IPv6-Funktionalität, Sicherheitsanforderungen und Dokumentationsqualität für eine verlässliche Migrationsdurchführung.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Unterstützung einer groß angelegten IPv6-Transition über mehrere Fachverfahren hinweg mit strukturierten Readiness-Assessments, Migrationsdokumentation und Stakeholder-Kommunikation.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Identity &amp; Access Management (IAM) und Rechteprüfung im Enterprise-Umfeld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Erstellung und Pflege sicherheitsrelevanter Prozesse und Dokumentationen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konsistenter Policy-Anwendung in komplexen Netzwerk- und Infrastrukturumgebungen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Implementierung von IPv6 im gesamten Unternehmen, Zukunftssicherung des Netzwerks.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Netzwerkadministrator (Palo Alto / Fortinet)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Februar 2026 - April 2026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die Hochverfügbarkeit und den sicheren Betrieb von LAN-, WLAN- und VPN-Services in medizinischen und administrativen 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und Pflege der Netzwerkinfrastruktur inkl. Switches, Routern, Firewalls und VLAN-Segmentierung für unterschiedliche Krankenhausbereiche.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Sicherheitskontrollen und Richtlinien gemäß ISO 27001, BSI-Grundschutz, DSGVO und sektorspezifischen Anforderungen.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Monitoring von Netzwerkperformance und Ausfallsicherheit kritischer Systeme sowie schnelle Störungsbehebung in Incident-Szenarien.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medizinischer Geräte in die Krankenhausnetzwerke und Sicherstellung einer sicheren Interoperabilität mit klinischen Informationssystemen.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Derzeitige Migration IPSec-VPN-Tunnel von Cisco auf Palo Alto mit stufenweiser Umschaltplanung und ohne Betriebsunterbrechung.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Konzeption und Implementierung von IPv6 im Netzwerk-Perimeter zur Sicherstellung der externen Erreichbarkeit.</w:t>
            </w:r>
          </w:p>
          <w:p/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Zusatzprojekte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Ergänzende oder spezialisierte Projekte mit flexiblem Umfang.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(IPv6, Zero Trust, Zero-Config VPN, etc.)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Einführung eines unternehmensweiten Security-Governance-Frameworks inkl. Policy-Design und Access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Durchführung strukturierter Risikoanalysen und Ableitung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sicherer Betriebsprozesse (Least Privilege, Logging, Monitoring, Rollenmodelle)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SchlauFabrik – Multi-Tenant Compliance- &amp; KI-Trainingsplattform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xtensible UG (haftungsbeschränkt) &amp; Co. KG</w:t>
            </w:r>
            <w:r>
              <w:rPr>
                <w:color w:val="3A2366"/>
                <w:sz w:val="18"/>
                <w:szCs w:val="18"/>
              </w:rPr>
              <w:t xml:space="preserve"> — Dezember 2025 -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Umsetzung einer modernen, responsiven Trainingsplattform für Compliance- und KI-Themen (KMU-Fokus) mit Mandantentrennung und RBAC.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Security-by-Design mit Postgres Row-Level Security, Audit-Logs, Rate Limiting sowie gehärteten Auth-Flows (Passkey/Magic Link/2FA/SSO).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Aufbau der Kursplattform inkl. Fortschritts-Tracking, Quiz, Zuweisungen sowie Admin-Dashboards für Tenant-/User-Management.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manipulationssicherer PDF-Zertifikate mit QR-Verifikation und kryptografischem Hashing inkl. Bulk-Export für Audits.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von Stripe-Abrechnung (Subscriptions, Portal, Webhooks) inkl. Lizenzmodellen und Soft-Lock-Mechanismen für Tenant-Limits.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Tech: Next.js (App Router), TypeScript, Bun, Tailwind, next-intl (DE/EN), Neon Postgres, Stripe, Resend, Vitest/Playwright.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KI-Trainingsplattform &amp; Evaluierung von KI-Werkzeugen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Aug 2025 - Okt 2025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Aufbau einer internen KI-Trainingsplattform für den Unternehmenseinsatz mit Fokus auf EU-AI-Act-Compliance und praxisnahe Befähigung der 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und Entscheidungsvorlage zum Vergleich führender KI- und Automatisierungsplattformen hinsichtlich Datenschutz, Zuverlässigkeit, API-Integration und Governance-Tauglichkeit.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Evaluierung aufkommender agentischer KI-Workflows zur mehrstufigen Aufgabenorchestrierung und deren Integration in Unternehmensautomatisierungsumgebungen.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Analysiert und bewertet: OpenAI ChatGPT, OpenAI Open-Weight GPT-OSS, Microsoft Copilot, Perplexity, Anthropic Claude, Apple Foundation, z.AI GLM, n8n, make.com und Zapier.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Entwicklung eines modularen Lernplattform-Prototyps mit Supabase- und Cloudflare-Integration, rollenbasierten Inhalten und Fortschrittsverfolgung.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Erstellung eines vergleichenden Entscheidungsrahmens zur Unterstützung der KI-Einführungsstrategie des Unternehmens.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Compliance</w:t>
            </w:r>
          </w:p>
          <w:p>
            <w:r>
              <w:rPr>
                <w:color w:val="1B6E5A"/>
                <w:sz w:val="18"/>
                <w:szCs w:val="18"/>
              </w:rPr>
              <w:t xml:space="preserve">Regulatory Compliance (IT-Compliance)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Audit-Readiness &amp; Policy-Enforcement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Kontrollumgebungen im Finanzsektor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  <w:instrText xml:space="preserve">PAGE</w:instrText>
      <w:fldChar w:fldCharType="separate"/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  <w:instrText xml:space="preserve">NUMPAGES</w:instrText>
      <w:fldChar w:fldCharType="separate"/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September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rPr>
      <w:rFonts w:ascii="Inter" w:cs="Inter" w:eastAsia="Inter" w:hAnsi="Inter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94afc7fb415d2dc92ff16f3fbe8c21c79fa0dba5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2026-09-03T03:05:27.415Z</dcterms:created>
  <dcterms:modified xsi:type="dcterms:W3CDTF">2026-09-03T03:05:27.415Z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