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Middleware &amp; IPv6 Migration Expert</w:t>
            </w:r>
          </w:p>
          <w:p>
            <w:r>
              <w:rPr>
                <w:i/>
                <w:iCs/>
                <w:color w:val="1B6E5A"/>
                <w:sz w:val="18"/>
                <w:szCs w:val="18"/>
              </w:rPr>
              <w:t xml:space="preserve">Confidential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Provides technical guidance for the migration of specialist applications from IPv4 environments to IPv6-ready dual-stack operation.</w:t>
            </w:r>
          </w:p>
          <w:p>
            <w:pPr>
              <w:pStyle w:val="ListParagraph"/>
              <w:numPr>
                <w:ilvl w:val="0"/>
                <w:numId w:val="1"/>
              </w:numPr>
            </w:pPr>
            <w:r>
              <w:rPr>
                <w:b w:val="false"/>
                <w:bCs w:val="false"/>
                <w:color w:val="07090B"/>
                <w:sz w:val="18"/>
                <w:szCs w:val="18"/>
              </w:rPr>
              <w:t xml:space="preserve">Analyzes application dependencies, middleware components, database connections, and operational constraints to assess migration readiness.</w:t>
            </w:r>
          </w:p>
          <w:p>
            <w:pPr>
              <w:pStyle w:val="ListParagraph"/>
              <w:numPr>
                <w:ilvl w:val="0"/>
                <w:numId w:val="1"/>
              </w:numPr>
            </w:pPr>
            <w:r>
              <w:rPr>
                <w:b w:val="false"/>
                <w:bCs w:val="false"/>
                <w:color w:val="07090B"/>
                <w:sz w:val="18"/>
                <w:szCs w:val="18"/>
              </w:rPr>
              <w:t xml:space="preserve">Develops migration plans for individual and clustered applications, coordinating closely with application owners, IT operations, and quality assurance teams.</w:t>
            </w:r>
          </w:p>
          <w:p>
            <w:pPr>
              <w:pStyle w:val="ListParagraph"/>
              <w:numPr>
                <w:ilvl w:val="0"/>
                <w:numId w:val="1"/>
              </w:numPr>
            </w:pPr>
            <w:r>
              <w:rPr>
                <w:b w:val="false"/>
                <w:bCs w:val="false"/>
                <w:color w:val="07090B"/>
                <w:sz w:val="18"/>
                <w:szCs w:val="18"/>
              </w:rPr>
              <w:t xml:space="preserve">Validates dual-stack capability, IPv6 functionality, security requirements, and documentation quality for reliable migration execution.</w:t>
            </w:r>
          </w:p>
          <w:p>
            <w:pPr>
              <w:pStyle w:val="ListParagraph"/>
              <w:numPr>
                <w:ilvl w:val="0"/>
                <w:numId w:val="1"/>
              </w:numPr>
            </w:pPr>
            <w:r>
              <w:rPr>
                <w:b/>
                <w:bCs/>
                <w:color w:val="1B6E5A"/>
                <w:sz w:val="18"/>
                <w:szCs w:val="18"/>
              </w:rPr>
              <w:t xml:space="preserve">Achievement: Supports a large-scale, multi-application IPv6 transition with structured readiness assessments, migration documentation, and stakeholder communication.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August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2026-08-30T03:06:17.304Z</dcterms:created>
  <dcterms:modified xsi:type="dcterms:W3CDTF">2026-08-30T03:06:17.304Z</dcterms:modified>
</cp:coreProperties>
</file>

<file path=docProps/custom.xml><?xml version="1.0" encoding="utf-8"?>
<Properties xmlns="http://schemas.openxmlformats.org/officeDocument/2006/custom-properties" xmlns:vt="http://schemas.openxmlformats.org/officeDocument/2006/docPropsVTypes"/>
</file>