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00"/>
        <w:gridCol w:w="8400"/>
      </w:tblGrid>
      <w:tr>
        <w:tc>
          <w:tcPr>
            <w:tcW w:type="dxa" w:w="1600"/>
            <w:tcBorders>
              <w:top w:val="none"/>
              <w:left w:val="none"/>
              <w:bottom w:val="none"/>
              <w:right w:val="none"/>
            </w:tcBorders>
            <w:shd w:fill="1B6E5A" w:val="clear"/>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IT Consultant specializing in IPv6</w:t>
            </w:r>
          </w:p>
          <w:p>
            <w:r>
              <w:rPr>
                <w:i/>
                <w:iCs/>
                <w:color w:val="1B6E5A"/>
                <w:sz w:val="18"/>
                <w:szCs w:val="18"/>
              </w:rPr>
              <w:t xml:space="preserve">Public-sector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Technical consulting on IPv6 readiness of IT systems and applications.</w:t>
            </w:r>
          </w:p>
          <w:p>
            <w:pPr>
              <w:pStyle w:val="ListParagraph"/>
              <w:numPr>
                <w:ilvl w:val="0"/>
                <w:numId w:val="1"/>
              </w:numPr>
            </w:pPr>
            <w:r>
              <w:rPr>
                <w:b w:val="false"/>
                <w:bCs w:val="false"/>
                <w:color w:val="07090B"/>
                <w:sz w:val="18"/>
                <w:szCs w:val="18"/>
              </w:rPr>
              <w:t xml:space="preserve">Assessment of technical prerequisites and support in planning adjustments.</w:t>
            </w:r>
          </w:p>
          <w:p>
            <w:pPr>
              <w:pStyle w:val="ListParagraph"/>
              <w:numPr>
                <w:ilvl w:val="0"/>
                <w:numId w:val="1"/>
              </w:numPr>
            </w:pPr>
            <w:r>
              <w:rPr>
                <w:b w:val="false"/>
                <w:bCs w:val="false"/>
                <w:color w:val="07090B"/>
                <w:sz w:val="18"/>
                <w:szCs w:val="18"/>
              </w:rPr>
              <w:t xml:space="preserve">Support for technical testing and documentation of results.</w:t>
            </w:r>
          </w:p>
          <w:p>
            <w:pPr>
              <w:pStyle w:val="ListParagraph"/>
              <w:numPr>
                <w:ilvl w:val="0"/>
                <w:numId w:val="1"/>
              </w:numPr>
            </w:pPr>
            <w:r>
              <w:rPr>
                <w:b w:val="false"/>
                <w:bCs w:val="false"/>
                <w:color w:val="07090B"/>
                <w:sz w:val="18"/>
                <w:szCs w:val="18"/>
              </w:rPr>
              <w:t xml:space="preserve">Coordination of technical matters with the teams involved.</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&amp; Security Engineer - Migration to Fortinet</w:t>
            </w:r>
          </w:p>
          <w:p>
            <w:r>
              <w:rPr>
                <w:i/>
                <w:iCs/>
                <w:color w:val="1B6E5A"/>
                <w:sz w:val="18"/>
                <w:szCs w:val="18"/>
              </w:rPr>
              <w:t xml:space="preserve">St. Dominikus Krankenhaus und Jugendhilfe gGmbH</w:t>
            </w:r>
            <w:r>
              <w:rPr>
                <w:color w:val="3A2366"/>
                <w:sz w:val="18"/>
                <w:szCs w:val="18"/>
              </w:rPr>
              <w:t xml:space="preserve"> — Sep 2026 - Sep 2026</w:t>
            </w:r>
          </w:p>
          <w:p>
            <w:pPr>
              <w:spacing w:after="100"/>
            </w:pPr>
            <w:r>
              <w:rPr>
                <w:color w:val="3A2366"/>
                <w:sz w:val="18"/>
                <w:szCs w:val="18"/>
              </w:rPr>
              <w:t xml:space="preserve">Remote / Ludwigshafen, Germany</w:t>
            </w:r>
          </w:p>
          <w:p>
            <w:pPr>
              <w:pStyle w:val="ListParagraph"/>
              <w:numPr>
                <w:ilvl w:val="0"/>
                <w:numId w:val="1"/>
              </w:numPr>
            </w:pPr>
            <w:r>
              <w:rPr>
                <w:b w:val="false"/>
                <w:bCs w:val="false"/>
                <w:color w:val="07090B"/>
                <w:sz w:val="18"/>
                <w:szCs w:val="18"/>
              </w:rPr>
              <w:t xml:space="preserve">Migration of the existing Cisco and Palo Alto environment to Fortinet.</w:t>
            </w:r>
          </w:p>
          <w:p>
            <w:pPr>
              <w:pStyle w:val="ListParagraph"/>
              <w:numPr>
                <w:ilvl w:val="0"/>
                <w:numId w:val="1"/>
              </w:numPr>
            </w:pPr>
            <w:r>
              <w:rPr>
                <w:b w:val="false"/>
                <w:bCs w:val="false"/>
                <w:color w:val="07090B"/>
                <w:sz w:val="18"/>
                <w:szCs w:val="18"/>
              </w:rPr>
              <w:t xml:space="preserve">Transfer of firewall rules, network objects, NAT and routing configurations, and existing VPN connections.</w:t>
            </w:r>
          </w:p>
          <w:p>
            <w:pPr>
              <w:pStyle w:val="ListParagraph"/>
              <w:numPr>
                <w:ilvl w:val="0"/>
                <w:numId w:val="1"/>
              </w:numPr>
            </w:pPr>
            <w:r>
              <w:rPr>
                <w:b w:val="false"/>
                <w:bCs w:val="false"/>
                <w:color w:val="07090B"/>
                <w:sz w:val="18"/>
                <w:szCs w:val="18"/>
              </w:rPr>
              <w:t xml:space="preserve">Review of existing configurations and migration of current functionality and security policies to the Fortinet platform.</w:t>
            </w:r>
          </w:p>
          <w:p>
            <w:pPr>
              <w:pStyle w:val="ListParagraph"/>
              <w:numPr>
                <w:ilvl w:val="0"/>
                <w:numId w:val="1"/>
              </w:numPr>
            </w:pPr>
            <w:r>
              <w:rPr>
                <w:b w:val="false"/>
                <w:bCs w:val="false"/>
                <w:color w:val="07090B"/>
                <w:sz w:val="18"/>
                <w:szCs w:val="18"/>
              </w:rPr>
              <w:t xml:space="preserve">Cutover planning and execution, with functional testing of network connections, VPN access, and connected systems.</w:t>
            </w:r>
          </w:p>
          <w:p>
            <w:pPr>
              <w:pStyle w:val="ListParagraph"/>
              <w:numPr>
                <w:ilvl w:val="0"/>
                <w:numId w:val="1"/>
              </w:numPr>
            </w:pPr>
            <w:r>
              <w:rPr>
                <w:b w:val="false"/>
                <w:bCs w:val="false"/>
                <w:color w:val="07090B"/>
                <w:sz w:val="18"/>
                <w:szCs w:val="18"/>
              </w:rPr>
              <w:t xml:space="preserve">Troubleshooting during the migration and documentation of the migrated configurations.</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September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default="1">
    <w:name w:val="Normal"/>
    <w:rPr>
      <w:rFonts w:ascii="Inter" w:cs="Inter" w:eastAsia="Inter" w:hAnsi="Inte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2026-09-28T03:09:35.391Z</dcterms:created>
  <dcterms:modified xsi:type="dcterms:W3CDTF">2026-09-28T03:09:35.391Z</dcterms:modified>
</cp:coreProperties>
</file>

<file path=docProps/custom.xml><?xml version="1.0" encoding="utf-8"?>
<Properties xmlns="http://schemas.openxmlformats.org/officeDocument/2006/custom-properties" xmlns:vt="http://schemas.openxmlformats.org/officeDocument/2006/docPropsVTypes"/>
</file>