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Middleware- &amp; IPv6-Migrationsexperte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Confidential Client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Begleitung der Migration von Fachverfahren aus IPv4-Umgebungen in einen IPv6-fähigen Dual-Stack-Betrieb.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Analyse von Anwendungsabhängigkeiten, Middleware-Komponenten, Datenbankanbindungen und betrieblichen Rahmenbedingungen zur Bewertung der Migrationsbereitschaft.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von Migrationsplänen für einzelne und geclusterte Fachverfahren in enger Abstimmung mit Fachverfahrensverantwortlichen, IT-Betrieb und Qualitätssicherung.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Validierung von Dual-Stack-Fähigkeit, IPv6-Funktionalität, Sicherheitsanforderungen und Dokumentationsqualität für eine verlässliche Migrationsdurchführung.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Unterstützung einer groß angelegten IPv6-Transition über mehrere Fachverfahren hinweg mit strukturierten Readiness-Assessments, Migrationsdokumentation und Stakeholder-Kommunikation.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August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2026-08-04T03:15:34.370Z</dcterms:created>
  <dcterms:modified xsi:type="dcterms:W3CDTF">2026-08-04T03:15:34.370Z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