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b/>
                <w:bCs/>
                <w:color w:val="07090B"/>
                <w:sz w:val="44"/>
                <w:szCs w:val="44"/>
                <w:rFonts w:ascii="Space Grotesk" w:cs="Space Grotesk" w:eastAsia="Space Grotesk" w:hAnsi="Space Grotesk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bringe langjährige Erfahrung im Bereich der Systemadministration mit, insbesondere in der Netzwerk-Architektur und dem Design sowie der Absicherung redundanter Netzwerk-Infrastrukturen. Meine Expertise umfasst das FirewallManagement, die Planung sicherer Netzwerke und tiefgehende Kenntnisse exotischer Protokolle und verschiedener Netzwerkprodukte.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Ich bringe fast zwei Jahrzehnte praktische Erfahrung in der Enterprise-IT mit und spezialisiere mich auf die Konzeption und Absicherung komplexer Netzwerkumgebungen für Finanz- und Handelsunternehmen.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Mein Arbeitsalltag dreht sich um die Steuerung komplexer Firewall-Landschaften, die Optimierung von Change-Prozessen, die Pflege detaillierter Dokumentationen und die Koordination von Stakeholdern aus Security-, Infrastruktur- und Applikationsteams.</w:t>
            </w:r>
          </w:p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November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2025-11-18T19:47:27.621Z</dcterms:created>
  <dcterms:modified xsi:type="dcterms:W3CDTF">2025-11-18T19:47:27.621Z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