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b/>
                <w:bCs/>
                <w:color w:val="07090B"/>
                <w:sz w:val="44"/>
                <w:szCs w:val="44"/>
                <w:rFonts w:ascii="Space Grotesk" w:cs="Space Grotesk" w:eastAsia="Space Grotesk" w:hAnsi="Space Grotesk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bringe langjährige Erfahrung im Bereich der Systemadministration mit, insbesondere in der Netzwerk-Architektur und dem Design sowie der Absicherung redundanter Netzwerk-Infrastrukturen. Meine Expertise umfasst das FirewallManagement, die Planung sicherer Netzwerke und tiefgehende Kenntnisse exotischer Protokolle und verschiedener Netzwerkprodukte.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Ich bringe fast zwei Jahrzehnte praktische Erfahrung in der Enterprise-IT mit und spezialisiere mich auf die Konzeption und Absicherung komplexer Netzwerkumgebungen für Finanz- und Handelsunternehmen.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Mein Arbeitsalltag dreht sich um die Steuerung komplexer Firewall-Landschaften, die Optimierung von Change-Prozessen, die Pflege detaillierter Dokumentationen und die Koordination von Stakeholdern aus Security-, Infrastruktur- und Applikationsteams.</w:t>
            </w:r>
          </w:p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November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2025-11-01T08:15:17.939Z</dcterms:created>
  <dcterms:modified xsi:type="dcterms:W3CDTF">2025-11-01T08:15:17.939Z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