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4"/>
        </w:rPr>
        <w:t>走失宠物以图搜图系统——课程项目说明</w:t>
      </w:r>
    </w:p>
    <w:p>
      <w:pPr>
        <w:keepNext/>
      </w:pPr>
      <w:r>
        <w:rPr>
          <w:b/>
          <w:sz w:val="23"/>
        </w:rPr>
        <w:t>1．项目定位与范围</w:t>
      </w:r>
    </w:p>
    <w:p>
      <w:r>
        <w:t>面向猫狗走失场景，实现“寻宠信息发布—目击信息发布—相似宠物检索—人工核对”。五人团队在一学期内完成，以已有数据集进行匹配测试，不考虑实际推广。核心是寻找同一只宠物，而非仅识别品种；搜索结果作为疑似线索，不能直接确认身份。</w:t>
      </w:r>
    </w:p>
    <w:p>
      <w:pPr>
        <w:keepNext/>
      </w:pPr>
      <w:r>
        <w:rPr>
          <w:b/>
          <w:sz w:val="23"/>
        </w:rPr>
        <w:t>2．主要功能与流程</w:t>
      </w:r>
    </w:p>
    <w:p>
      <w:r>
        <w:t>• 信息发布：选择“宠物走失”或“疑似流浪宠物目击”，上传图片、填写外貌描述，可自愿留下联系方式。系统记录上传时间，经授权获取当前位置；定位失败时支持手选。另设可修改的“走失／目击时间、地点”，避免把上传位置误当作事件位置。</w:t>
      </w:r>
    </w:p>
    <w:p>
      <w:r>
        <w:t>• 双向匹配：走失信息搜索目击库，目击信息搜索走失库。先筛选同类动物和事件所在区，再按图片相似度排序；区内没有达到阈值的候选时，自动扩大到同市其他区。全市仍无合格候选则提示“暂无可靠线索”。</w:t>
      </w:r>
    </w:p>
    <w:p>
      <w:r>
        <w:t>• 结果展示：显示前5条候选的图片、描述、事件时间、所在区、距离（有坐标时）和自愿公开的联系方式，支持详情查看。相似度仅为排序分数，不当作“找回概率”。允许手动扩大至同市，避免被区内相似宠物阻断搜索。</w:t>
      </w:r>
    </w:p>
    <w:p>
      <w:r>
        <w:t>• 描述使用：毛色、花纹、体型等用于展示和辅助排序。首版以图片检索为主，文本融合列为加分项，避免错误描述直接排除正确候选。</w:t>
      </w:r>
    </w:p>
    <w:p>
      <w:pPr>
        <w:keepNext/>
      </w:pPr>
      <w:r>
        <w:rPr>
          <w:b/>
          <w:sz w:val="23"/>
        </w:rPr>
        <w:t>3．实现与数据方案</w:t>
      </w:r>
    </w:p>
    <w:p>
      <w:r>
        <w:t>采用“前端页面＋后端接口与数据库＋特征提取与检索模块”。复用预训练模型，提前计算图库特征；查询时提取新图特征，在地域候选集中进行相似度排序。先跑通基线，再考虑宠物区域裁剪、模型微调和文本辅助，不从零训练大模型。</w:t>
      </w:r>
    </w:p>
    <w:p>
      <w:r>
        <w:t>优先申请PetFace猫狗子集：具有个体身份标注，适合测试是否为同一只宠物。官方要求仅限非商业研究，并需申请访问，应尽早确认获取条件。该数据集以动物脸部为主，不能据其结果直接推断复杂街景效果。[1]</w:t>
      </w:r>
    </w:p>
    <w:p>
      <w:r>
        <w:t>建议选取不少于300只宠物，每只至少2张不同照片，猫狗均覆盖。训练、验证、测试按个体隔离；测试个体内部再分查询图与图库图，同图及近重复图不得跨集合。保留“图库中不存在该宠物”的查询。时间、区、市和坐标使用明确标注的模拟数据，用于验证地域逻辑，不冒充真实走失记录。</w:t>
      </w:r>
    </w:p>
    <w:p>
      <w:pPr>
        <w:keepNext/>
      </w:pPr>
      <w:r>
        <w:rPr>
          <w:b/>
          <w:sz w:val="23"/>
        </w:rPr>
        <w:t>4．建议分工</w:t>
      </w:r>
    </w:p>
    <w:p>
      <w:r>
        <w:t>现有“两算法＋一前端＋一后端＋一数据集”适合算法导向课设。建议保留人数结构，将数据负责人后期工作扩展为评测，将第二位算法同学的职责扩展为检索集成，缓解后端联调压力。</w:t>
      </w:r>
    </w:p>
    <w:p>
      <w:r>
        <w:t>• 成员A——模型算法：预训练模型基线、特征提取、微调实验，交付模型与推理接口。</w:t>
      </w:r>
    </w:p>
    <w:p>
      <w:r>
        <w:t>• 成员B——检索与集成：相似度排序、阈值校准、地域检索策略和速度优化，与后端共同打通搜索流程。</w:t>
      </w:r>
    </w:p>
    <w:p>
      <w:r>
        <w:t>• 成员C——前端：发布、搜索、结果、详情页面，以及定位授权、异常提示和交互测试。</w:t>
      </w:r>
    </w:p>
    <w:p>
      <w:r>
        <w:t>• 成员D——后端：数据结构、图片上传、业务接口、地域字段、部署与系统联调。</w:t>
      </w:r>
    </w:p>
    <w:p>
      <w:r>
        <w:t>• 成员E——数据与评测：数据获取清洗、身份划分、模拟时空数据、评测脚本、错误案例分析和报告图表；后期协助接口测试与文档。</w:t>
      </w:r>
    </w:p>
    <w:p>
      <w:r>
        <w:t>若模型直接复用、微调工作较少，可调整为“一算法＋一检索/后端＋一前端＋一业务后端＋一数据/测试”。每个模块明确一位主负责人，并安排另一位同学参与接口核对。</w:t>
      </w:r>
    </w:p>
    <w:p>
      <w:pPr>
        <w:keepNext/>
      </w:pPr>
      <w:r>
        <w:rPr>
          <w:b/>
          <w:sz w:val="23"/>
        </w:rPr>
        <w:t>5．建议验收指标</w:t>
      </w:r>
    </w:p>
    <w:p>
      <w:r>
        <w:t>以下数值是建议目标，不是已有实验结果；先跑基线，再根据设备和数据难度确定最终目标。</w:t>
      </w:r>
    </w:p>
    <w:p>
      <w:r>
        <w:t>• 检索效果：真实个体存在于图库时，Top-1命中率≥60%，Top-5命中率≥80%，即前1／5条结果中是否包含同一只宠物。分别报告猫、狗及总体结果，不以同品种命中代替同个体命中。</w:t>
      </w:r>
    </w:p>
    <w:p>
      <w:r>
        <w:t>• 无匹配处理：真实个体不在图库时，错误提示“有可靠候选”的查询比例≤10%。阈值仅在验证集选择，同时报告有匹配查询的正确接受率，避免靠全部拒绝达标。</w:t>
      </w:r>
    </w:p>
    <w:p>
      <w:r>
        <w:t>• 搜索时延：固定演示电脑，图库1万张、5个并发查询，图片上传完成至返回结果的P95≤3秒，即95%的请求不超过3秒；包括预处理、特征提取、地域筛选及排序。图库不足1万时按实际规模报告，复制图片仅可用于压力测试，不能用于效果评测。</w:t>
      </w:r>
    </w:p>
    <w:p>
      <w:r>
        <w:t>• 功能正确性：区内命中、区内无匹配后扩大同市、全市无匹配、定位失败四类预设用例全部通过；同市扩展不返回其他城市记录。</w:t>
      </w:r>
    </w:p>
    <w:p>
      <w:r>
        <w:t>• 测试口径：记录硬件、模型版本、图库规模和是否预热，性能测试至少执行100次查询。分别测量图像检索效果与完整地域流程效果，后者补充统计正确线索因地域策略未被返回的情况。</w:t>
      </w:r>
    </w:p>
    <w:p>
      <w:pPr>
        <w:keepNext/>
      </w:pPr>
      <w:r>
        <w:rPr>
          <w:b/>
          <w:sz w:val="23"/>
        </w:rPr>
        <w:t>6．学期安排与交付</w:t>
      </w:r>
    </w:p>
    <w:p>
      <w:r>
        <w:t>第1—3周完成需求、数据获取和检索基线；第4—7周跑通发布与查询；第8—11周改进模型、阈值和地域策略；第12—16周完成测试、错误分析与答辩。交付可运行系统、源代码、数据处理与评测脚本、实验结果和简短使用说明。优先保证完整流程与可信评测，再增加文本融合等功能。</w:t>
      </w:r>
    </w:p>
    <w:p>
      <w:r>
        <w:t>[1] PetFace官方项目及数据申请说明：https://github.com/mapooon/PetFace</w:t>
      </w:r>
    </w:p>
    <w:sectPr w:rsidR="00FC693F" w:rsidRPr="0006063C" w:rsidSect="00034616"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