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597B7">
      <w:r>
        <w:rPr>
          <w:rFonts w:hint="eastAsia"/>
        </w:rPr>
        <w:t>技术要求：内置数据安全模块：</w:t>
      </w:r>
    </w:p>
    <w:p w14:paraId="36D889E6">
      <w:bookmarkStart w:id="0" w:name="_GoBack"/>
      <w:bookmarkEnd w:id="0"/>
    </w:p>
    <w:p w14:paraId="58C2992C">
      <w:r>
        <w:rPr>
          <w:rFonts w:hint="eastAsia"/>
        </w:rPr>
        <w:t>（1)对称密钥管理，一字段一密钥配置，数据动态和静态脱敏规则管理，业务数据库、在线洗数、反洗数等功能，提供截图；</w:t>
      </w:r>
    </w:p>
    <w:p w14:paraId="180254F9">
      <w:pPr>
        <w:numPr>
          <w:ilvl w:val="0"/>
          <w:numId w:val="1"/>
        </w:numPr>
      </w:pPr>
      <w:r>
        <w:rPr>
          <w:rFonts w:hint="eastAsia"/>
        </w:rPr>
        <w:t>支持对称密钥管理</w:t>
      </w:r>
    </w:p>
    <w:p w14:paraId="5A6E18A3">
      <w:pPr>
        <w:jc w:val="left"/>
      </w:pPr>
      <w:r>
        <w:drawing>
          <wp:inline distT="0" distB="0" distL="114300" distR="114300">
            <wp:extent cx="8978900" cy="40767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723"/>
    <w:p w14:paraId="27FABC4A">
      <w:pPr>
        <w:numPr>
          <w:ilvl w:val="0"/>
          <w:numId w:val="1"/>
        </w:numPr>
      </w:pPr>
      <w:r>
        <w:rPr>
          <w:rFonts w:hint="eastAsia"/>
        </w:rPr>
        <w:t>支持应用管理</w:t>
      </w:r>
    </w:p>
    <w:p w14:paraId="3C445870">
      <w:r>
        <w:rPr>
          <w:rFonts w:hint="eastAsia" w:ascii="仿宋" w:hAnsi="仿宋" w:eastAsia="仿宋" w:cs="仿宋"/>
        </w:rPr>
        <w:drawing>
          <wp:inline distT="0" distB="0" distL="114300" distR="114300">
            <wp:extent cx="8959850" cy="4768850"/>
            <wp:effectExtent l="0" t="0" r="6350" b="6350"/>
            <wp:docPr id="8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5"/>
                    <pic:cNvPicPr>
                      <a:picLocks noChangeAspect="1"/>
                    </pic:cNvPicPr>
                  </pic:nvPicPr>
                  <pic:blipFill>
                    <a:blip r:embed="rId5">
                      <a:lum bright="-12000" contrast="18000"/>
                    </a:blip>
                    <a:srcRect b="4541"/>
                    <a:stretch>
                      <a:fillRect/>
                    </a:stretch>
                  </pic:blipFill>
                  <pic:spPr>
                    <a:xfrm>
                      <a:off x="0" y="0"/>
                      <a:ext cx="89598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6AFB">
      <w:pPr>
        <w:numPr>
          <w:ilvl w:val="0"/>
          <w:numId w:val="1"/>
        </w:numPr>
      </w:pPr>
      <w:r>
        <w:rPr>
          <w:rFonts w:hint="eastAsia"/>
        </w:rPr>
        <w:t>一字段一密钥安全配置</w:t>
      </w:r>
    </w:p>
    <w:p w14:paraId="554AF9C4">
      <w:pPr>
        <w:jc w:val="left"/>
      </w:pPr>
      <w:r>
        <w:drawing>
          <wp:inline distT="0" distB="0" distL="114300" distR="114300">
            <wp:extent cx="9086850" cy="47879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1DDB">
      <w:pPr>
        <w:numPr>
          <w:ilvl w:val="0"/>
          <w:numId w:val="1"/>
        </w:numPr>
      </w:pPr>
      <w:r>
        <w:rPr>
          <w:rFonts w:hint="eastAsia"/>
        </w:rPr>
        <w:t>数据动态和静态脱敏规则管理</w:t>
      </w:r>
    </w:p>
    <w:p w14:paraId="6B35E352">
      <w:pPr>
        <w:jc w:val="left"/>
      </w:pPr>
      <w:r>
        <w:drawing>
          <wp:inline distT="0" distB="0" distL="114300" distR="114300">
            <wp:extent cx="8940800" cy="4435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A0E8"/>
    <w:p w14:paraId="4E06D5FF"/>
    <w:p w14:paraId="470972F3">
      <w:pPr>
        <w:numPr>
          <w:ilvl w:val="0"/>
          <w:numId w:val="1"/>
        </w:numPr>
      </w:pPr>
      <w:r>
        <w:rPr>
          <w:rFonts w:hint="eastAsia"/>
        </w:rPr>
        <w:t>业务数据库、加密字段配置管理</w:t>
      </w:r>
    </w:p>
    <w:p w14:paraId="0FEE3BEB">
      <w:pPr>
        <w:jc w:val="left"/>
      </w:pPr>
      <w:r>
        <w:drawing>
          <wp:inline distT="0" distB="0" distL="114300" distR="114300">
            <wp:extent cx="8858250" cy="43561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CD61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业务数据库管理</w:t>
      </w:r>
    </w:p>
    <w:p w14:paraId="3D605DF3">
      <w:pPr>
        <w:jc w:val="left"/>
      </w:pPr>
      <w:r>
        <w:drawing>
          <wp:inline distT="0" distB="0" distL="114300" distR="114300">
            <wp:extent cx="9055100" cy="4671060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2639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业务数据库添加</w:t>
      </w:r>
    </w:p>
    <w:p w14:paraId="7B7E92BA">
      <w:pPr>
        <w:jc w:val="left"/>
      </w:pPr>
      <w:r>
        <w:drawing>
          <wp:inline distT="0" distB="0" distL="114300" distR="114300">
            <wp:extent cx="8832850" cy="47053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28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57A9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加密字段管理</w:t>
      </w:r>
    </w:p>
    <w:p w14:paraId="432BCD4D">
      <w:pPr>
        <w:jc w:val="left"/>
      </w:pPr>
      <w:r>
        <w:drawing>
          <wp:inline distT="0" distB="0" distL="114300" distR="114300">
            <wp:extent cx="8997950" cy="47117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9F54">
      <w:pPr>
        <w:pStyle w:val="3"/>
        <w:jc w:val="center"/>
      </w:pPr>
      <w:r>
        <w:t xml:space="preserve">图 </w:t>
      </w:r>
      <w:r>
        <w:rPr>
          <w:rFonts w:hint="eastAsia"/>
        </w:rPr>
        <w:t>加密字段配置</w:t>
      </w:r>
    </w:p>
    <w:p w14:paraId="576F60A9"/>
    <w:p w14:paraId="248825F3">
      <w:pPr>
        <w:numPr>
          <w:ilvl w:val="0"/>
          <w:numId w:val="1"/>
        </w:numPr>
      </w:pPr>
      <w:r>
        <w:rPr>
          <w:rFonts w:hint="eastAsia"/>
        </w:rPr>
        <w:t>支持在线洗数、反洗数</w:t>
      </w:r>
    </w:p>
    <w:p w14:paraId="0C9EF41E">
      <w:pPr>
        <w:jc w:val="left"/>
      </w:pPr>
      <w:r>
        <w:drawing>
          <wp:inline distT="0" distB="0" distL="114300" distR="114300">
            <wp:extent cx="9237345" cy="4737735"/>
            <wp:effectExtent l="0" t="0" r="825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F0C4">
      <w:pPr>
        <w:rPr>
          <w:rFonts w:ascii="宋体" w:hAnsi="宋体"/>
          <w:szCs w:val="32"/>
        </w:rPr>
      </w:pPr>
    </w:p>
    <w:p w14:paraId="238FD5FF">
      <w:r>
        <w:rPr>
          <w:rFonts w:hint="eastAsia"/>
        </w:rPr>
        <w:t>（2)支持UKEY证书登录，数据库表静态脱敏导出，应用或数据库无需配置或改造实现数据动态脱敏， 应用或数据库无需配置或改造实现数据透明加密及完整性计算、解密，提供截图；</w:t>
      </w:r>
    </w:p>
    <w:p w14:paraId="6E643D11">
      <w:pPr>
        <w:numPr>
          <w:ilvl w:val="0"/>
          <w:numId w:val="2"/>
        </w:numPr>
      </w:pPr>
      <w:r>
        <w:rPr>
          <w:rFonts w:hint="eastAsia"/>
        </w:rPr>
        <w:t>支持UKEY证书登录</w:t>
      </w:r>
    </w:p>
    <w:p w14:paraId="7FA2A13F">
      <w:pPr>
        <w:jc w:val="center"/>
      </w:pPr>
      <w:r>
        <w:drawing>
          <wp:inline distT="0" distB="0" distL="114300" distR="114300">
            <wp:extent cx="4000500" cy="419544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5870"/>
    <w:p w14:paraId="34290EBD"/>
    <w:p w14:paraId="2466C1F4">
      <w:pPr>
        <w:numPr>
          <w:ilvl w:val="0"/>
          <w:numId w:val="2"/>
        </w:numPr>
      </w:pPr>
      <w:r>
        <w:rPr>
          <w:rFonts w:hint="eastAsia"/>
        </w:rPr>
        <w:t>数据库表静态脱敏导出</w:t>
      </w:r>
    </w:p>
    <w:p w14:paraId="17CD2F12">
      <w:pPr>
        <w:jc w:val="center"/>
      </w:pPr>
      <w:r>
        <w:drawing>
          <wp:inline distT="0" distB="0" distL="114300" distR="114300">
            <wp:extent cx="8286750" cy="46609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10E1"/>
    <w:p w14:paraId="6E309BBD">
      <w:pPr>
        <w:numPr>
          <w:ilvl w:val="0"/>
          <w:numId w:val="2"/>
        </w:numPr>
      </w:pPr>
      <w:r>
        <w:rPr>
          <w:rFonts w:hint="eastAsia"/>
        </w:rPr>
        <w:t>应用或数据库无需配置或改造实现数据动态脱敏</w:t>
      </w:r>
    </w:p>
    <w:p w14:paraId="7A369FCC">
      <w:r>
        <w:drawing>
          <wp:inline distT="0" distB="0" distL="114300" distR="114300">
            <wp:extent cx="8882380" cy="4107815"/>
            <wp:effectExtent l="0" t="0" r="7620" b="6985"/>
            <wp:docPr id="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8238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AD86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创建脱敏规则</w:t>
      </w:r>
    </w:p>
    <w:p w14:paraId="3DA75179">
      <w:r>
        <w:drawing>
          <wp:inline distT="0" distB="0" distL="114300" distR="114300">
            <wp:extent cx="8883015" cy="4215130"/>
            <wp:effectExtent l="0" t="0" r="6985" b="1270"/>
            <wp:docPr id="1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8301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9D01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规则绑定字段</w:t>
      </w:r>
    </w:p>
    <w:p w14:paraId="15D0777F"/>
    <w:p w14:paraId="35F36651"/>
    <w:p w14:paraId="04D571D8"/>
    <w:p w14:paraId="27339784">
      <w:pPr>
        <w:numPr>
          <w:ilvl w:val="0"/>
          <w:numId w:val="2"/>
        </w:numPr>
      </w:pPr>
      <w:r>
        <w:rPr>
          <w:rFonts w:hint="eastAsia"/>
        </w:rPr>
        <w:t>应用或数据库无需配置或改造实现数据透明加密及完整性计算、解密</w:t>
      </w:r>
    </w:p>
    <w:p w14:paraId="09233A2F">
      <w:r>
        <w:drawing>
          <wp:inline distT="0" distB="0" distL="114300" distR="114300">
            <wp:extent cx="8956675" cy="4272915"/>
            <wp:effectExtent l="0" t="0" r="9525" b="6985"/>
            <wp:docPr id="12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5667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E91A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字段配置</w:t>
      </w:r>
    </w:p>
    <w:p w14:paraId="3A6DF57A">
      <w:pPr>
        <w:rPr>
          <w:b/>
          <w:bCs/>
          <w:color w:val="FF0000"/>
        </w:rPr>
      </w:pPr>
    </w:p>
    <w:p w14:paraId="76862BB3">
      <w:pPr>
        <w:rPr>
          <w:b/>
          <w:bCs/>
          <w:color w:val="FF0000"/>
        </w:rPr>
      </w:pPr>
    </w:p>
    <w:p w14:paraId="173531C4">
      <w:r>
        <w:drawing>
          <wp:inline distT="0" distB="0" distL="114300" distR="114300">
            <wp:extent cx="8881110" cy="4253865"/>
            <wp:effectExtent l="0" t="0" r="8890" b="63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811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89A4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字段绑定密钥</w:t>
      </w:r>
    </w:p>
    <w:p w14:paraId="230CA2AC">
      <w:pPr>
        <w:rPr>
          <w:b/>
          <w:bCs/>
          <w:color w:val="FF0000"/>
        </w:rPr>
      </w:pPr>
    </w:p>
    <w:p w14:paraId="15B7EDEA">
      <w:pPr>
        <w:rPr>
          <w:b/>
          <w:bCs/>
          <w:color w:val="FF0000"/>
        </w:rPr>
      </w:pPr>
    </w:p>
    <w:p w14:paraId="4D718BA8">
      <w:pPr>
        <w:rPr>
          <w:b/>
          <w:bCs/>
          <w:color w:val="FF0000"/>
        </w:rPr>
      </w:pPr>
    </w:p>
    <w:p w14:paraId="0AB5819D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呈现效果</w:t>
      </w:r>
    </w:p>
    <w:p w14:paraId="0C118689">
      <w:pPr>
        <w:rPr>
          <w:b/>
          <w:bCs/>
          <w:color w:val="FF0000"/>
        </w:rPr>
      </w:pPr>
    </w:p>
    <w:p w14:paraId="1229EC23">
      <w:r>
        <w:drawing>
          <wp:inline distT="0" distB="0" distL="114300" distR="114300">
            <wp:extent cx="8994775" cy="1737360"/>
            <wp:effectExtent l="0" t="0" r="9525" b="2540"/>
            <wp:docPr id="24" name="图片 17" descr="微信图片_2023101714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微信图片_202310171424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9477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7F51">
      <w:pPr>
        <w:pStyle w:val="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明文数据</w:t>
      </w:r>
    </w:p>
    <w:p w14:paraId="5B00DD04">
      <w:pPr>
        <w:rPr>
          <w:b/>
          <w:bCs/>
          <w:color w:val="FF0000"/>
        </w:rPr>
      </w:pPr>
    </w:p>
    <w:p w14:paraId="41801112">
      <w:r>
        <w:drawing>
          <wp:inline distT="0" distB="0" distL="114300" distR="114300">
            <wp:extent cx="8971280" cy="1918970"/>
            <wp:effectExtent l="0" t="0" r="7620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rcRect b="40967"/>
                    <a:stretch>
                      <a:fillRect/>
                    </a:stretch>
                  </pic:blipFill>
                  <pic:spPr>
                    <a:xfrm>
                      <a:off x="0" y="0"/>
                      <a:ext cx="897128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7850">
      <w:pPr>
        <w:pStyle w:val="3"/>
        <w:jc w:val="center"/>
      </w:pPr>
      <w:r>
        <w:t xml:space="preserve">图 </w:t>
      </w:r>
      <w:r>
        <w:rPr>
          <w:rFonts w:hint="eastAsia"/>
        </w:rPr>
        <w:t xml:space="preserve"> 加密数据</w:t>
      </w:r>
    </w:p>
    <w:p w14:paraId="4248864D">
      <w:pPr>
        <w:rPr>
          <w:b/>
          <w:bCs/>
          <w:color w:val="FF0000"/>
        </w:rPr>
      </w:pPr>
    </w:p>
    <w:p w14:paraId="0C77D1BD"/>
    <w:p w14:paraId="67D3E002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DCEF9A9">
      <w:r>
        <w:rPr>
          <w:rFonts w:hint="eastAsia"/>
        </w:rPr>
        <w:t>（3)在线洗数，100万≤4min,在线反洗数，100万≤4min；提供第三方检测报告</w:t>
      </w:r>
    </w:p>
    <w:p w14:paraId="68015E5C">
      <w:pPr>
        <w:pStyle w:val="2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960" cy="7442835"/>
            <wp:effectExtent l="0" t="0" r="2540" b="12065"/>
            <wp:docPr id="66" name="图片 66" descr="数据存储加密系统测试报告(2)-数安商用密码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数据存储加密系统测试报告(2)-数安商用密码_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7960" cy="7442835"/>
            <wp:effectExtent l="0" t="0" r="2540" b="12065"/>
            <wp:docPr id="65" name="图片 65" descr="数据存储加密系统测试报告(2)-数安商用密码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数据存储加密系统测试报告(2)-数安商用密码_0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7960" cy="7442835"/>
            <wp:effectExtent l="0" t="0" r="2540" b="12065"/>
            <wp:docPr id="64" name="图片 64" descr="数据存储加密系统测试报告(2)-数安商用密码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数据存储加密系统测试报告(2)-数安商用密码_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7960" cy="7442835"/>
            <wp:effectExtent l="0" t="0" r="2540" b="12065"/>
            <wp:docPr id="50" name="图片 50" descr="数据存储加密系统测试报告(2)-数安商用密码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数据存储加密系统测试报告(2)-数安商用密码_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188585" cy="7330440"/>
            <wp:effectExtent l="0" t="0" r="5715" b="10160"/>
            <wp:docPr id="47" name="图片 47" descr="数据存储加密系统测试报告(2)-数安商用密码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数据存储加密系统测试报告(2)-数安商用密码_0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041265" cy="7121525"/>
            <wp:effectExtent l="0" t="0" r="635" b="3175"/>
            <wp:docPr id="31" name="图片 31" descr="数据存储加密系统测试报告(2)-数安商用密码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数据存储加密系统测试报告(2)-数安商用密码_0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904740" cy="6929120"/>
            <wp:effectExtent l="0" t="0" r="10160" b="5080"/>
            <wp:docPr id="30" name="图片 30" descr="数据存储加密系统测试报告(2)-数安商用密码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数据存储加密系统测试报告(2)-数安商用密码_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620895" cy="6528435"/>
            <wp:effectExtent l="0" t="0" r="1905" b="12065"/>
            <wp:docPr id="29" name="图片 29" descr="数据存储加密系统测试报告(2)-数安商用密码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数据存储加密系统测试报告(2)-数安商用密码_0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679315" cy="6611620"/>
            <wp:effectExtent l="0" t="0" r="6985" b="5080"/>
            <wp:docPr id="28" name="图片 28" descr="数据存储加密系统测试报告(2)-数安商用密码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数据存储加密系统测试报告(2)-数安商用密码_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657090" cy="6580505"/>
            <wp:effectExtent l="0" t="0" r="3810" b="10795"/>
            <wp:docPr id="27" name="图片 27" descr="数据存储加密系统测试报告(2)-数安商用密码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数据存储加密系统测试报告(2)-数安商用密码_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644390" cy="6560820"/>
            <wp:effectExtent l="0" t="0" r="3810" b="5080"/>
            <wp:docPr id="26" name="图片 26" descr="数据存储加密系统测试报告(2)-数安商用密码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数据存储加密系统测试报告(2)-数安商用密码_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4674235" cy="6602095"/>
            <wp:effectExtent l="0" t="0" r="12065" b="1905"/>
            <wp:docPr id="25" name="图片 25" descr="数据存储加密系统测试报告(2)-数安商用密码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数据存储加密系统测试报告(2)-数安商用密码_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5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F55EE"/>
    <w:multiLevelType w:val="singleLevel"/>
    <w:tmpl w:val="99EF55E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187EF39"/>
    <w:multiLevelType w:val="singleLevel"/>
    <w:tmpl w:val="D187EF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EF7A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99"/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dragon</dc:creator>
  <cp:lastModifiedBy></cp:lastModifiedBy>
  <dcterms:modified xsi:type="dcterms:W3CDTF">2026-07-20T06:55:31Z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eyJoZGlkIjoiMDkxZTNkYTE4MzcwZjBiNTE3ZTU5YTYxZWM3NjgzODMiLCJ1c2VySWQiOiI1MTA5MjcwMzIifQ==</vt:lpwstr>
  </property>
  <property fmtid="{D5CDD505-2E9C-101B-9397-08002B2CF9AE}" pid="4" name="ICV">
    <vt:lpwstr>4E7155B6315E4A5BAA8CDBB48B57EAD5_12</vt:lpwstr>
  </property>
</Properties>
</file>