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0AE5E">
      <w:pPr>
        <w:widowControl w:val="0"/>
        <w:spacing w:before="20" w:beforeLines="20" w:after="20" w:afterLines="20"/>
        <w:ind w:firstLine="488" w:firstLineChars="200"/>
        <w:jc w:val="both"/>
        <w:rPr>
          <w:rFonts w:hint="eastAsia" w:eastAsia="宋体" w:asciiTheme="minorAscii" w:hAnsiTheme="minorAscii" w:cstheme="minorBidi"/>
          <w:snapToGrid w:val="0"/>
          <w:sz w:val="24"/>
          <w:szCs w:val="22"/>
        </w:rPr>
      </w:pPr>
    </w:p>
    <w:p w14:paraId="4903F562">
      <w:pPr>
        <w:widowControl w:val="0"/>
        <w:spacing w:before="20" w:beforeLines="20" w:after="20" w:afterLines="20"/>
        <w:ind w:firstLine="488" w:firstLineChars="200"/>
        <w:jc w:val="both"/>
        <w:rPr>
          <w:rFonts w:hint="eastAsia" w:eastAsia="宋体" w:asciiTheme="minorAscii" w:hAnsiTheme="minorAscii" w:cstheme="minorBidi"/>
          <w:snapToGrid w:val="0"/>
          <w:sz w:val="24"/>
          <w:szCs w:val="22"/>
        </w:rPr>
      </w:pPr>
    </w:p>
    <w:p w14:paraId="04093977">
      <w:pPr>
        <w:widowControl w:val="0"/>
        <w:spacing w:before="20" w:beforeLines="20" w:after="20" w:afterLines="20"/>
        <w:ind w:firstLine="488" w:firstLineChars="200"/>
        <w:jc w:val="both"/>
        <w:rPr>
          <w:rFonts w:hint="eastAsia" w:eastAsia="宋体" w:asciiTheme="minorAscii" w:hAnsiTheme="minorAscii" w:cstheme="minorBidi"/>
          <w:snapToGrid w:val="0"/>
          <w:sz w:val="24"/>
          <w:szCs w:val="22"/>
        </w:rPr>
      </w:pPr>
    </w:p>
    <w:p w14:paraId="3D7D26EC">
      <w:pPr>
        <w:widowControl w:val="0"/>
        <w:spacing w:before="20" w:beforeLines="20" w:after="20" w:afterLines="20"/>
        <w:ind w:firstLine="968" w:firstLineChars="200"/>
        <w:jc w:val="center"/>
        <w:outlineLvl w:val="9"/>
        <w:rPr>
          <w:rFonts w:hint="eastAsia" w:ascii="黑体" w:hAnsi="黑体" w:eastAsia="黑体" w:cs="黑体"/>
          <w:snapToGrid w:val="0"/>
          <w:sz w:val="24"/>
          <w:szCs w:val="22"/>
        </w:rPr>
      </w:pPr>
      <w:r>
        <w:rPr>
          <w:rFonts w:hint="eastAsia" w:ascii="黑体" w:hAnsi="黑体" w:eastAsia="黑体" w:cs="黑体"/>
          <w:snapToGrid w:val="0"/>
          <w:sz w:val="48"/>
          <w:szCs w:val="48"/>
        </w:rPr>
        <w:t>成</w:t>
      </w:r>
      <w:bookmarkStart w:id="104" w:name="_GoBack"/>
      <w:bookmarkEnd w:id="104"/>
      <w:r>
        <w:rPr>
          <w:rFonts w:hint="eastAsia" w:ascii="黑体" w:hAnsi="黑体" w:eastAsia="黑体" w:cs="黑体"/>
          <w:snapToGrid w:val="0"/>
          <w:sz w:val="48"/>
          <w:szCs w:val="48"/>
        </w:rPr>
        <w:t>人高等教育毕业论文（设计）</w:t>
      </w:r>
    </w:p>
    <w:p w14:paraId="3AA6EDC5">
      <w:pPr>
        <w:widowControl w:val="0"/>
        <w:spacing w:before="20" w:beforeLines="20" w:after="20" w:afterLines="20"/>
        <w:ind w:firstLine="568" w:firstLineChars="200"/>
        <w:jc w:val="center"/>
        <w:rPr>
          <w:rFonts w:hint="eastAsia" w:eastAsia="宋体" w:asciiTheme="minorAscii" w:hAnsiTheme="minorAscii" w:cstheme="minorBidi"/>
          <w:snapToGrid w:val="0"/>
          <w:sz w:val="28"/>
          <w:szCs w:val="24"/>
        </w:rPr>
      </w:pPr>
    </w:p>
    <w:p w14:paraId="59AF4A53">
      <w:pPr>
        <w:keepNext w:val="0"/>
        <w:keepLines w:val="0"/>
        <w:pageBreakBefore w:val="0"/>
        <w:widowControl w:val="0"/>
        <w:kinsoku/>
        <w:wordWrap/>
        <w:overflowPunct/>
        <w:topLinePunct w:val="0"/>
        <w:autoSpaceDE/>
        <w:autoSpaceDN/>
        <w:bidi w:val="0"/>
        <w:adjustRightInd/>
        <w:snapToGrid/>
        <w:spacing w:before="20" w:beforeLines="20" w:after="20" w:afterLines="20"/>
        <w:ind w:firstLine="0" w:firstLineChars="0"/>
        <w:jc w:val="right"/>
        <w:textAlignment w:val="auto"/>
        <w:outlineLvl w:val="9"/>
        <w:rPr>
          <w:rFonts w:hint="eastAsia" w:eastAsia="宋体" w:asciiTheme="minorAscii" w:hAnsiTheme="minorAscii" w:cstheme="minorBidi"/>
          <w:b/>
          <w:bCs/>
          <w:snapToGrid w:val="0"/>
          <w:w w:val="95"/>
          <w:sz w:val="32"/>
          <w:szCs w:val="28"/>
          <w:u w:val="single"/>
        </w:rPr>
      </w:pPr>
      <w:r>
        <w:rPr>
          <w:rFonts w:hint="eastAsia" w:eastAsia="宋体" w:asciiTheme="minorAscii" w:hAnsiTheme="minorAscii" w:cstheme="minorBidi"/>
          <w:b/>
          <w:bCs/>
          <w:snapToGrid w:val="0"/>
          <w:sz w:val="32"/>
          <w:szCs w:val="28"/>
        </w:rPr>
        <w:t>论文题目：</w:t>
      </w:r>
      <w:r>
        <w:rPr>
          <w:rFonts w:hint="eastAsia" w:eastAsia="宋体" w:asciiTheme="minorAscii" w:hAnsiTheme="minorAscii" w:cstheme="minorBidi"/>
          <w:b/>
          <w:bCs/>
          <w:snapToGrid w:val="0"/>
          <w:w w:val="95"/>
          <w:sz w:val="32"/>
          <w:szCs w:val="28"/>
          <w:u w:val="single"/>
        </w:rPr>
        <w:t>数字化转型背景下城市垃圾转运运营效率优化研究</w:t>
      </w:r>
    </w:p>
    <w:p w14:paraId="07B44FB8">
      <w:pPr>
        <w:keepNext w:val="0"/>
        <w:keepLines w:val="0"/>
        <w:pageBreakBefore w:val="0"/>
        <w:widowControl w:val="0"/>
        <w:kinsoku/>
        <w:wordWrap/>
        <w:overflowPunct/>
        <w:topLinePunct w:val="0"/>
        <w:autoSpaceDE/>
        <w:autoSpaceDN/>
        <w:bidi w:val="0"/>
        <w:adjustRightInd/>
        <w:snapToGrid/>
        <w:spacing w:before="20" w:beforeLines="20" w:after="20" w:afterLines="20"/>
        <w:ind w:firstLine="0" w:firstLineChars="0"/>
        <w:jc w:val="right"/>
        <w:textAlignment w:val="auto"/>
        <w:outlineLvl w:val="9"/>
        <w:rPr>
          <w:rFonts w:hint="eastAsia" w:eastAsia="宋体" w:asciiTheme="minorAscii" w:hAnsiTheme="minorAscii" w:cstheme="minorBidi"/>
          <w:snapToGrid w:val="0"/>
          <w:sz w:val="32"/>
          <w:szCs w:val="28"/>
        </w:rPr>
      </w:pPr>
      <w:r>
        <w:rPr>
          <w:rFonts w:hint="eastAsia" w:eastAsia="宋体" w:asciiTheme="minorAscii" w:hAnsiTheme="minorAscii" w:cstheme="minorBidi"/>
          <w:b/>
          <w:bCs/>
          <w:snapToGrid w:val="0"/>
          <w:w w:val="95"/>
          <w:sz w:val="32"/>
          <w:szCs w:val="28"/>
          <w:u w:val="single"/>
          <w:lang w:eastAsia="zh-CN"/>
        </w:rPr>
        <w:t>—</w:t>
      </w:r>
      <w:r>
        <w:rPr>
          <w:rFonts w:hint="eastAsia" w:eastAsia="宋体" w:asciiTheme="minorAscii" w:hAnsiTheme="minorAscii" w:cstheme="minorBidi"/>
          <w:b/>
          <w:bCs/>
          <w:snapToGrid w:val="0"/>
          <w:w w:val="95"/>
          <w:sz w:val="32"/>
          <w:szCs w:val="28"/>
          <w:u w:val="single"/>
        </w:rPr>
        <w:t>—以合肥辉达公司智慧环卫平台为例</w:t>
      </w:r>
    </w:p>
    <w:tbl>
      <w:tblPr>
        <w:tblStyle w:val="20"/>
        <w:tblW w:w="67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0"/>
        <w:gridCol w:w="4087"/>
      </w:tblGrid>
      <w:tr w14:paraId="454540A7">
        <w:trPr>
          <w:trHeight w:val="670" w:hRule="atLeast"/>
          <w:jc w:val="center"/>
        </w:trPr>
        <w:tc>
          <w:tcPr>
            <w:tcW w:w="2640" w:type="dxa"/>
            <w:vAlign w:val="bottom"/>
          </w:tcPr>
          <w:p w14:paraId="4787F7D0">
            <w:pPr>
              <w:widowControl w:val="0"/>
              <w:spacing w:before="20" w:beforeLines="20" w:after="20" w:afterLines="20" w:line="360" w:lineRule="auto"/>
              <w:ind w:left="0" w:leftChars="0" w:firstLine="0" w:firstLineChars="0"/>
              <w:jc w:val="distribute"/>
              <w:rPr>
                <w:rFonts w:hint="eastAsia" w:ascii="宋体" w:hAnsi="宋体" w:eastAsia="宋体" w:cs="宋体"/>
                <w:snapToGrid w:val="0"/>
                <w:sz w:val="36"/>
                <w:szCs w:val="36"/>
                <w:vertAlign w:val="baseline"/>
                <w:lang w:eastAsia="zh-CN"/>
              </w:rPr>
            </w:pPr>
            <w:r>
              <w:rPr>
                <w:rFonts w:hint="eastAsia" w:ascii="宋体" w:hAnsi="宋体" w:eastAsia="宋体" w:cs="宋体"/>
                <w:snapToGrid w:val="0"/>
                <w:spacing w:val="52"/>
                <w:kern w:val="0"/>
                <w:sz w:val="36"/>
                <w:szCs w:val="36"/>
                <w:fitText w:val="2426" w:id="1669165201"/>
                <w:vertAlign w:val="baseline"/>
              </w:rPr>
              <w:t>姓    名</w:t>
            </w:r>
            <w:r>
              <w:rPr>
                <w:rFonts w:hint="eastAsia" w:ascii="宋体" w:hAnsi="宋体" w:eastAsia="宋体" w:cs="宋体"/>
                <w:snapToGrid w:val="0"/>
                <w:spacing w:val="1"/>
                <w:kern w:val="0"/>
                <w:sz w:val="36"/>
                <w:szCs w:val="36"/>
                <w:fitText w:val="2426" w:id="1669165201"/>
                <w:vertAlign w:val="baseline"/>
                <w:lang w:eastAsia="zh-CN"/>
              </w:rPr>
              <w:t>：</w:t>
            </w:r>
          </w:p>
        </w:tc>
        <w:tc>
          <w:tcPr>
            <w:tcW w:w="4087" w:type="dxa"/>
            <w:tcBorders>
              <w:bottom w:val="single" w:color="auto" w:sz="4" w:space="0"/>
            </w:tcBorders>
            <w:vAlign w:val="bottom"/>
          </w:tcPr>
          <w:p w14:paraId="6AF96C55">
            <w:pPr>
              <w:widowControl w:val="0"/>
              <w:spacing w:before="20" w:beforeLines="20" w:after="20" w:afterLines="20" w:line="360" w:lineRule="auto"/>
              <w:ind w:left="0" w:leftChars="0" w:firstLine="0" w:firstLineChars="0"/>
              <w:jc w:val="center"/>
              <w:rPr>
                <w:rFonts w:hint="eastAsia" w:ascii="宋体" w:hAnsi="宋体" w:eastAsia="宋体" w:cs="宋体"/>
                <w:snapToGrid w:val="0"/>
                <w:sz w:val="36"/>
                <w:szCs w:val="36"/>
                <w:vertAlign w:val="baseline"/>
              </w:rPr>
            </w:pPr>
            <w:r>
              <w:rPr>
                <w:rFonts w:hint="eastAsia" w:ascii="宋体" w:hAnsi="宋体" w:eastAsia="宋体" w:cs="宋体"/>
                <w:snapToGrid w:val="0"/>
                <w:spacing w:val="276"/>
                <w:kern w:val="0"/>
                <w:sz w:val="36"/>
                <w:szCs w:val="36"/>
                <w:fitText w:val="2186" w:id="2080357722"/>
                <w:vertAlign w:val="baseline"/>
              </w:rPr>
              <w:t>王嘉</w:t>
            </w:r>
            <w:r>
              <w:rPr>
                <w:rFonts w:hint="eastAsia" w:ascii="宋体" w:hAnsi="宋体" w:eastAsia="宋体" w:cs="宋体"/>
                <w:snapToGrid w:val="0"/>
                <w:spacing w:val="1"/>
                <w:kern w:val="0"/>
                <w:sz w:val="36"/>
                <w:szCs w:val="36"/>
                <w:fitText w:val="2186" w:id="2080357722"/>
                <w:vertAlign w:val="baseline"/>
              </w:rPr>
              <w:t>绪</w:t>
            </w:r>
          </w:p>
        </w:tc>
      </w:tr>
      <w:tr w14:paraId="7BD86B64">
        <w:trPr>
          <w:trHeight w:val="796" w:hRule="atLeast"/>
          <w:jc w:val="center"/>
        </w:trPr>
        <w:tc>
          <w:tcPr>
            <w:tcW w:w="2640" w:type="dxa"/>
            <w:vAlign w:val="bottom"/>
          </w:tcPr>
          <w:p w14:paraId="10CBD092">
            <w:pPr>
              <w:widowControl w:val="0"/>
              <w:spacing w:before="20" w:beforeLines="20" w:after="20" w:afterLines="20" w:line="360" w:lineRule="auto"/>
              <w:ind w:left="0" w:leftChars="0" w:firstLine="0" w:firstLineChars="0"/>
              <w:jc w:val="distribute"/>
              <w:rPr>
                <w:rFonts w:hint="eastAsia" w:ascii="宋体" w:hAnsi="宋体" w:eastAsia="宋体" w:cs="宋体"/>
                <w:snapToGrid w:val="0"/>
                <w:sz w:val="36"/>
                <w:szCs w:val="36"/>
                <w:vertAlign w:val="baseline"/>
                <w:lang w:eastAsia="zh-CN"/>
              </w:rPr>
            </w:pPr>
            <w:r>
              <w:rPr>
                <w:rFonts w:hint="eastAsia" w:ascii="宋体" w:hAnsi="宋体" w:eastAsia="宋体" w:cs="宋体"/>
                <w:snapToGrid w:val="0"/>
                <w:spacing w:val="52"/>
                <w:kern w:val="0"/>
                <w:sz w:val="36"/>
                <w:szCs w:val="36"/>
                <w:fitText w:val="2426" w:id="-4256395"/>
                <w:vertAlign w:val="baseline"/>
              </w:rPr>
              <w:t>学    号</w:t>
            </w:r>
            <w:r>
              <w:rPr>
                <w:rFonts w:hint="eastAsia" w:ascii="宋体" w:hAnsi="宋体" w:eastAsia="宋体" w:cs="宋体"/>
                <w:snapToGrid w:val="0"/>
                <w:spacing w:val="1"/>
                <w:kern w:val="0"/>
                <w:sz w:val="36"/>
                <w:szCs w:val="36"/>
                <w:fitText w:val="2426" w:id="-4256395"/>
                <w:vertAlign w:val="baseline"/>
                <w:lang w:eastAsia="zh-CN"/>
              </w:rPr>
              <w:t>：</w:t>
            </w:r>
          </w:p>
        </w:tc>
        <w:tc>
          <w:tcPr>
            <w:tcW w:w="4087" w:type="dxa"/>
            <w:tcBorders>
              <w:top w:val="single" w:color="auto" w:sz="4" w:space="0"/>
              <w:bottom w:val="single" w:color="auto" w:sz="4" w:space="0"/>
            </w:tcBorders>
            <w:vAlign w:val="bottom"/>
          </w:tcPr>
          <w:p w14:paraId="3784B1F8">
            <w:pPr>
              <w:widowControl w:val="0"/>
              <w:spacing w:before="20" w:beforeLines="20" w:after="20" w:afterLines="20" w:line="360" w:lineRule="auto"/>
              <w:ind w:left="0" w:leftChars="0" w:firstLine="0" w:firstLineChars="0"/>
              <w:jc w:val="center"/>
              <w:rPr>
                <w:rFonts w:hint="eastAsia" w:ascii="宋体" w:hAnsi="宋体" w:eastAsia="宋体" w:cs="宋体"/>
                <w:snapToGrid w:val="0"/>
                <w:spacing w:val="7"/>
                <w:kern w:val="0"/>
                <w:sz w:val="36"/>
                <w:szCs w:val="36"/>
                <w:fitText w:val="2186" w:id="2080357722"/>
                <w:vertAlign w:val="baseline"/>
              </w:rPr>
            </w:pPr>
            <w:r>
              <w:rPr>
                <w:rFonts w:hint="eastAsia" w:ascii="宋体" w:hAnsi="宋体" w:eastAsia="宋体" w:cs="宋体"/>
                <w:snapToGrid w:val="0"/>
                <w:spacing w:val="29"/>
                <w:kern w:val="0"/>
                <w:sz w:val="36"/>
                <w:szCs w:val="36"/>
                <w:fitText w:val="2186" w:id="2080357722"/>
                <w:vertAlign w:val="baseline"/>
              </w:rPr>
              <w:t>2024310109</w:t>
            </w:r>
          </w:p>
        </w:tc>
      </w:tr>
      <w:tr w14:paraId="2A9FE402">
        <w:trPr>
          <w:trHeight w:val="796" w:hRule="atLeast"/>
          <w:jc w:val="center"/>
        </w:trPr>
        <w:tc>
          <w:tcPr>
            <w:tcW w:w="2640" w:type="dxa"/>
            <w:vAlign w:val="bottom"/>
          </w:tcPr>
          <w:p w14:paraId="26402141">
            <w:pPr>
              <w:widowControl w:val="0"/>
              <w:spacing w:before="20" w:beforeLines="20" w:after="20" w:afterLines="20" w:line="360" w:lineRule="auto"/>
              <w:ind w:left="0" w:leftChars="0" w:firstLine="0" w:firstLineChars="0"/>
              <w:jc w:val="distribute"/>
              <w:rPr>
                <w:rFonts w:hint="eastAsia" w:ascii="宋体" w:hAnsi="宋体" w:eastAsia="宋体" w:cs="宋体"/>
                <w:snapToGrid w:val="0"/>
                <w:sz w:val="36"/>
                <w:szCs w:val="36"/>
                <w:vertAlign w:val="baseline"/>
                <w:lang w:eastAsia="zh-CN"/>
              </w:rPr>
            </w:pPr>
            <w:r>
              <w:rPr>
                <w:rFonts w:hint="eastAsia" w:ascii="宋体" w:hAnsi="宋体" w:eastAsia="宋体" w:cs="宋体"/>
                <w:snapToGrid w:val="0"/>
                <w:sz w:val="36"/>
                <w:szCs w:val="36"/>
                <w:vertAlign w:val="baseline"/>
              </w:rPr>
              <w:t>专业名称</w:t>
            </w:r>
            <w:r>
              <w:rPr>
                <w:rFonts w:hint="eastAsia" w:ascii="宋体" w:hAnsi="宋体" w:eastAsia="宋体" w:cs="宋体"/>
                <w:snapToGrid w:val="0"/>
                <w:sz w:val="36"/>
                <w:szCs w:val="36"/>
                <w:vertAlign w:val="baseline"/>
                <w:lang w:eastAsia="zh-CN"/>
              </w:rPr>
              <w:t>：</w:t>
            </w:r>
          </w:p>
        </w:tc>
        <w:tc>
          <w:tcPr>
            <w:tcW w:w="4087" w:type="dxa"/>
            <w:tcBorders>
              <w:top w:val="single" w:color="auto" w:sz="4" w:space="0"/>
              <w:bottom w:val="single" w:color="auto" w:sz="4" w:space="0"/>
            </w:tcBorders>
            <w:vAlign w:val="bottom"/>
          </w:tcPr>
          <w:p w14:paraId="313A6978">
            <w:pPr>
              <w:widowControl w:val="0"/>
              <w:spacing w:before="20" w:beforeLines="20" w:after="20" w:afterLines="20" w:line="360" w:lineRule="auto"/>
              <w:ind w:left="0" w:leftChars="0" w:firstLine="0" w:firstLineChars="0"/>
              <w:jc w:val="center"/>
              <w:rPr>
                <w:rFonts w:hint="eastAsia" w:ascii="宋体" w:hAnsi="宋体" w:eastAsia="宋体" w:cs="宋体"/>
                <w:snapToGrid w:val="0"/>
                <w:spacing w:val="1"/>
                <w:kern w:val="0"/>
                <w:sz w:val="36"/>
                <w:szCs w:val="36"/>
                <w:fitText w:val="2186" w:id="2080357722"/>
                <w:vertAlign w:val="baseline"/>
              </w:rPr>
            </w:pPr>
            <w:r>
              <w:rPr>
                <w:rFonts w:hint="eastAsia" w:ascii="宋体" w:hAnsi="宋体" w:eastAsia="宋体" w:cs="宋体"/>
                <w:snapToGrid w:val="0"/>
                <w:spacing w:val="82"/>
                <w:kern w:val="0"/>
                <w:sz w:val="36"/>
                <w:szCs w:val="36"/>
                <w:fitText w:val="2186" w:id="2080357722"/>
                <w:vertAlign w:val="baseline"/>
              </w:rPr>
              <w:t>工商管理</w:t>
            </w:r>
          </w:p>
        </w:tc>
      </w:tr>
      <w:tr w14:paraId="547EE4BB">
        <w:trPr>
          <w:trHeight w:val="796" w:hRule="atLeast"/>
          <w:jc w:val="center"/>
        </w:trPr>
        <w:tc>
          <w:tcPr>
            <w:tcW w:w="2640" w:type="dxa"/>
            <w:vAlign w:val="bottom"/>
          </w:tcPr>
          <w:p w14:paraId="756A64CE">
            <w:pPr>
              <w:widowControl w:val="0"/>
              <w:spacing w:before="20" w:beforeLines="20" w:after="20" w:afterLines="20" w:line="360" w:lineRule="auto"/>
              <w:ind w:left="0" w:leftChars="0" w:firstLine="0" w:firstLineChars="0"/>
              <w:jc w:val="distribute"/>
              <w:rPr>
                <w:rFonts w:hint="eastAsia" w:ascii="宋体" w:hAnsi="宋体" w:eastAsia="宋体" w:cs="宋体"/>
                <w:snapToGrid w:val="0"/>
                <w:sz w:val="36"/>
                <w:szCs w:val="36"/>
                <w:vertAlign w:val="baseline"/>
                <w:lang w:eastAsia="zh-CN"/>
              </w:rPr>
            </w:pPr>
            <w:r>
              <w:rPr>
                <w:rFonts w:hint="eastAsia" w:ascii="宋体" w:hAnsi="宋体" w:eastAsia="宋体" w:cs="宋体"/>
                <w:snapToGrid w:val="0"/>
                <w:sz w:val="36"/>
                <w:szCs w:val="36"/>
                <w:vertAlign w:val="baseline"/>
              </w:rPr>
              <w:t>指导教师</w:t>
            </w:r>
            <w:r>
              <w:rPr>
                <w:rFonts w:hint="eastAsia" w:ascii="宋体" w:hAnsi="宋体" w:eastAsia="宋体" w:cs="宋体"/>
                <w:snapToGrid w:val="0"/>
                <w:sz w:val="36"/>
                <w:szCs w:val="36"/>
                <w:vertAlign w:val="baseline"/>
                <w:lang w:eastAsia="zh-CN"/>
              </w:rPr>
              <w:t>：</w:t>
            </w:r>
          </w:p>
        </w:tc>
        <w:tc>
          <w:tcPr>
            <w:tcW w:w="4087" w:type="dxa"/>
            <w:tcBorders>
              <w:top w:val="single" w:color="auto" w:sz="4" w:space="0"/>
              <w:bottom w:val="single" w:color="auto" w:sz="4" w:space="0"/>
            </w:tcBorders>
            <w:vAlign w:val="bottom"/>
          </w:tcPr>
          <w:p w14:paraId="3A72A757">
            <w:pPr>
              <w:widowControl w:val="0"/>
              <w:spacing w:before="20" w:beforeLines="20" w:after="20" w:afterLines="20" w:line="360" w:lineRule="auto"/>
              <w:ind w:left="0" w:leftChars="0" w:firstLine="0" w:firstLineChars="0"/>
              <w:jc w:val="center"/>
              <w:rPr>
                <w:rFonts w:hint="eastAsia" w:ascii="宋体" w:hAnsi="宋体" w:eastAsia="宋体" w:cs="宋体"/>
                <w:snapToGrid w:val="0"/>
                <w:spacing w:val="1"/>
                <w:kern w:val="0"/>
                <w:sz w:val="36"/>
                <w:szCs w:val="36"/>
                <w:fitText w:val="2186" w:id="2080357722"/>
                <w:vertAlign w:val="baseline"/>
              </w:rPr>
            </w:pPr>
            <w:r>
              <w:rPr>
                <w:rFonts w:hint="eastAsia" w:ascii="宋体" w:hAnsi="宋体" w:eastAsia="宋体" w:cs="宋体"/>
                <w:snapToGrid w:val="0"/>
                <w:spacing w:val="344"/>
                <w:kern w:val="0"/>
                <w:sz w:val="36"/>
                <w:szCs w:val="36"/>
                <w:fitText w:val="2186" w:id="2080357722"/>
                <w:vertAlign w:val="baseline"/>
              </w:rPr>
              <w:t>刘晴</w:t>
            </w:r>
          </w:p>
        </w:tc>
      </w:tr>
    </w:tbl>
    <w:p w14:paraId="4825D001">
      <w:pPr>
        <w:keepNext w:val="0"/>
        <w:keepLines w:val="0"/>
        <w:pageBreakBefore w:val="0"/>
        <w:widowControl w:val="0"/>
        <w:kinsoku/>
        <w:wordWrap/>
        <w:overflowPunct/>
        <w:topLinePunct w:val="0"/>
        <w:autoSpaceDE/>
        <w:autoSpaceDN/>
        <w:bidi w:val="0"/>
        <w:adjustRightInd/>
        <w:snapToGrid/>
        <w:spacing w:before="20" w:beforeLines="20" w:after="20" w:afterLines="20"/>
        <w:ind w:firstLine="0" w:firstLineChars="0"/>
        <w:jc w:val="center"/>
        <w:textAlignment w:val="auto"/>
        <w:rPr>
          <w:rFonts w:hint="eastAsia" w:eastAsia="宋体" w:asciiTheme="minorAscii" w:hAnsiTheme="minorAscii" w:cstheme="minorBidi"/>
          <w:snapToGrid w:val="0"/>
          <w:sz w:val="32"/>
          <w:szCs w:val="28"/>
        </w:rPr>
      </w:pPr>
    </w:p>
    <w:p w14:paraId="3F551D7A">
      <w:pPr>
        <w:widowControl w:val="0"/>
        <w:tabs>
          <w:tab w:val="left" w:pos="3139"/>
        </w:tabs>
        <w:spacing w:before="20" w:beforeLines="20" w:after="20" w:afterLines="20"/>
        <w:ind w:firstLine="808" w:firstLineChars="200"/>
        <w:jc w:val="left"/>
        <w:rPr>
          <w:rFonts w:hint="default" w:eastAsia="宋体" w:asciiTheme="minorAscii" w:hAnsiTheme="minorAscii" w:cstheme="minorBidi"/>
          <w:snapToGrid w:val="0"/>
          <w:sz w:val="40"/>
          <w:szCs w:val="36"/>
          <w:lang w:val="en-US" w:eastAsia="zh-CN"/>
        </w:rPr>
      </w:pPr>
      <w:r>
        <w:rPr>
          <w:rFonts w:hint="eastAsia" w:cstheme="minorBidi"/>
          <w:snapToGrid w:val="0"/>
          <w:sz w:val="40"/>
          <w:szCs w:val="36"/>
          <w:lang w:eastAsia="zh-CN"/>
        </w:rPr>
        <w:tab/>
      </w:r>
      <w:r>
        <w:rPr>
          <w:rFonts w:hint="eastAsia" w:cstheme="minorBidi"/>
          <w:snapToGrid w:val="0"/>
          <w:sz w:val="40"/>
          <w:szCs w:val="36"/>
          <w:lang w:val="en-US" w:eastAsia="zh-CN"/>
        </w:rPr>
        <w:tab/>
        <w:t/>
      </w:r>
      <w:r>
        <w:rPr>
          <w:rFonts w:hint="eastAsia" w:cstheme="minorBidi"/>
          <w:snapToGrid w:val="0"/>
          <w:sz w:val="40"/>
          <w:szCs w:val="36"/>
          <w:lang w:val="en-US" w:eastAsia="zh-CN"/>
        </w:rPr>
        <w:tab/>
      </w:r>
    </w:p>
    <w:p w14:paraId="247A19AF">
      <w:pPr>
        <w:widowControl w:val="0"/>
        <w:spacing w:before="20" w:beforeLines="20" w:after="20" w:afterLines="20"/>
        <w:ind w:firstLine="568" w:firstLineChars="200"/>
        <w:jc w:val="center"/>
        <w:rPr>
          <w:rFonts w:hint="eastAsia" w:eastAsia="宋体" w:asciiTheme="minorAscii" w:hAnsiTheme="minorAscii" w:cstheme="minorBidi"/>
          <w:snapToGrid w:val="0"/>
          <w:sz w:val="28"/>
          <w:szCs w:val="24"/>
        </w:rPr>
      </w:pPr>
    </w:p>
    <w:p w14:paraId="2AEF7DA9">
      <w:pPr>
        <w:widowControl w:val="0"/>
        <w:spacing w:before="20" w:beforeLines="20" w:after="20" w:afterLines="20"/>
        <w:ind w:firstLine="568" w:firstLineChars="200"/>
        <w:jc w:val="center"/>
        <w:rPr>
          <w:rFonts w:hint="eastAsia" w:eastAsia="宋体" w:asciiTheme="minorAscii" w:hAnsiTheme="minorAscii" w:cstheme="minorBidi"/>
          <w:snapToGrid w:val="0"/>
          <w:sz w:val="28"/>
          <w:szCs w:val="24"/>
        </w:rPr>
      </w:pPr>
    </w:p>
    <w:p w14:paraId="5A3852E3">
      <w:pPr>
        <w:widowControl w:val="0"/>
        <w:spacing w:before="20" w:beforeLines="20" w:after="20" w:afterLines="20"/>
        <w:ind w:firstLine="568" w:firstLineChars="200"/>
        <w:jc w:val="center"/>
        <w:rPr>
          <w:rFonts w:hint="eastAsia" w:eastAsia="宋体" w:asciiTheme="minorAscii" w:hAnsiTheme="minorAscii" w:cstheme="minorBidi"/>
          <w:snapToGrid w:val="0"/>
          <w:sz w:val="28"/>
          <w:szCs w:val="24"/>
        </w:rPr>
      </w:pPr>
    </w:p>
    <w:p w14:paraId="6BD1C76B">
      <w:pPr>
        <w:widowControl w:val="0"/>
        <w:spacing w:before="20" w:beforeLines="20" w:after="20" w:afterLines="20"/>
        <w:ind w:firstLine="568" w:firstLineChars="200"/>
        <w:jc w:val="center"/>
        <w:rPr>
          <w:rFonts w:hint="eastAsia" w:eastAsia="宋体" w:asciiTheme="minorAscii" w:hAnsiTheme="minorAscii" w:cstheme="minorBidi"/>
          <w:snapToGrid w:val="0"/>
          <w:sz w:val="28"/>
          <w:szCs w:val="24"/>
        </w:rPr>
      </w:pPr>
    </w:p>
    <w:p w14:paraId="2D7F9308">
      <w:pPr>
        <w:widowControl w:val="0"/>
        <w:spacing w:before="20" w:beforeLines="20" w:after="20" w:afterLines="20"/>
        <w:ind w:firstLine="648" w:firstLineChars="200"/>
        <w:jc w:val="center"/>
        <w:outlineLvl w:val="9"/>
        <w:rPr>
          <w:rFonts w:hint="eastAsia" w:eastAsia="宋体" w:asciiTheme="minorAscii" w:hAnsiTheme="minorAscii" w:cstheme="minorBidi"/>
          <w:b/>
          <w:bCs/>
          <w:snapToGrid w:val="0"/>
          <w:sz w:val="32"/>
          <w:szCs w:val="28"/>
        </w:rPr>
      </w:pPr>
    </w:p>
    <w:p w14:paraId="122729A7">
      <w:pPr>
        <w:widowControl w:val="0"/>
        <w:spacing w:before="20" w:beforeLines="20" w:after="20" w:afterLines="20"/>
        <w:ind w:firstLine="648" w:firstLineChars="200"/>
        <w:jc w:val="center"/>
        <w:outlineLvl w:val="9"/>
        <w:rPr>
          <w:rFonts w:hint="eastAsia" w:eastAsia="宋体" w:asciiTheme="minorAscii" w:hAnsiTheme="minorAscii" w:cstheme="minorBidi"/>
          <w:b/>
          <w:bCs/>
          <w:snapToGrid w:val="0"/>
          <w:sz w:val="32"/>
          <w:szCs w:val="28"/>
        </w:rPr>
      </w:pPr>
    </w:p>
    <w:p w14:paraId="509B20C9">
      <w:pPr>
        <w:widowControl w:val="0"/>
        <w:spacing w:before="20" w:beforeLines="20" w:after="20" w:afterLines="20"/>
        <w:ind w:firstLine="648" w:firstLineChars="200"/>
        <w:jc w:val="center"/>
        <w:outlineLvl w:val="9"/>
        <w:rPr>
          <w:rFonts w:hint="eastAsia" w:eastAsia="宋体" w:asciiTheme="minorAscii" w:hAnsiTheme="minorAscii" w:cstheme="minorBidi"/>
          <w:b/>
          <w:bCs/>
          <w:snapToGrid w:val="0"/>
          <w:sz w:val="32"/>
          <w:szCs w:val="28"/>
        </w:rPr>
      </w:pPr>
      <w:r>
        <w:rPr>
          <w:rFonts w:hint="eastAsia" w:eastAsia="宋体" w:asciiTheme="minorAscii" w:hAnsiTheme="minorAscii" w:cstheme="minorBidi"/>
          <w:b/>
          <w:bCs/>
          <w:snapToGrid w:val="0"/>
          <w:sz w:val="32"/>
          <w:szCs w:val="28"/>
        </w:rPr>
        <w:t>合肥工业大学继续教育学院</w:t>
      </w:r>
    </w:p>
    <w:p w14:paraId="2E7879D6">
      <w:pPr>
        <w:pStyle w:val="18"/>
        <w:widowControl/>
        <w:sectPr>
          <w:headerReference r:id="rId5" w:type="default"/>
          <w:footerReference r:id="rId6" w:type="default"/>
          <w:type w:val="oddPage"/>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AndChars" w:linePitch="332" w:charSpace="879"/>
        </w:sectPr>
      </w:pPr>
    </w:p>
    <w:p w14:paraId="3BB50795">
      <w:pPr>
        <w:pStyle w:val="18"/>
        <w:widowControl/>
      </w:pPr>
      <w:r>
        <w:t>数字化转型背景下城市垃圾转运运营效率优化研究——以合肥辉达公司智慧环卫平台为例</w:t>
      </w:r>
    </w:p>
    <w:p w14:paraId="1AC87877">
      <w:pPr>
        <w:pStyle w:val="28"/>
        <w:widowControl/>
        <w:ind w:firstLine="0" w:firstLineChars="0"/>
      </w:pPr>
      <w:r>
        <w:rPr>
          <w:rStyle w:val="31"/>
          <w:rFonts w:hint="eastAsia"/>
          <w:b/>
          <w:lang w:eastAsia="zh-CN"/>
        </w:rPr>
        <w:t>摘要：</w:t>
      </w:r>
      <w:r>
        <w:t>随着“数字中国”战略持续推进以及城市更新进程加快，传统以经验为主导的垃圾转运模式已难以适应当前高频、高强度的环卫作业需求。在“双碳”目标背景下，如何在保障服务质量的同时提升运营效率，成为环卫企业面临的重要问题。本文以合肥辉达环境产业有限公司为例，对其智慧环卫平台的实际运行情况进行分析。</w:t>
      </w:r>
    </w:p>
    <w:p w14:paraId="0332D8D9">
      <w:pPr>
        <w:pStyle w:val="28"/>
        <w:widowControl/>
        <w:ind w:firstLine="0" w:firstLineChars="0"/>
      </w:pPr>
      <w:r>
        <w:t>研究发现，该公司虽已建设包含车辆定位、油耗监测及自动计量等功能的信息系统，但在实际运行中仍存在数据分散、调度方式滞后以及绩效考核单一等问题，导致整体效率未明显提升。基于业务流程再造与精细化管理理论，本文结合企业2024年运营数据，从成本、资源和时间三个方面构建评价指标体系，对现有问题进行分析。</w:t>
      </w:r>
    </w:p>
    <w:p w14:paraId="72CFFA21">
      <w:pPr>
        <w:pStyle w:val="30"/>
        <w:ind w:left="0" w:leftChars="0" w:firstLine="520" w:firstLineChars="200"/>
        <w:rPr>
          <w:rFonts w:hint="eastAsia"/>
        </w:rPr>
      </w:pPr>
    </w:p>
    <w:p w14:paraId="52A5441F">
      <w:pPr>
        <w:pStyle w:val="28"/>
        <w:widowControl/>
        <w:ind w:firstLine="0" w:firstLineChars="0"/>
      </w:pPr>
      <w:r>
        <w:t>在此基础上，提出三方面优化措施：一是引入基于实时数据的动态调度机制；二是建立“油耗—载重—里程”综合成本控制模型；三是完善绩效考核体系，强化数据应用。通过模拟分析，优化后预计可降低单位成本约12%左右，同时提升车辆利用率，并减少能源消耗。</w:t>
      </w:r>
    </w:p>
    <w:p w14:paraId="52B7E7D8">
      <w:pPr>
        <w:pStyle w:val="30"/>
        <w:ind w:left="0" w:leftChars="0" w:firstLine="520" w:firstLineChars="200"/>
        <w:rPr>
          <w:rFonts w:hint="eastAsia"/>
        </w:rPr>
      </w:pPr>
    </w:p>
    <w:p w14:paraId="4216DCCC">
      <w:pPr>
        <w:pStyle w:val="28"/>
        <w:widowControl/>
        <w:ind w:firstLine="0" w:firstLineChars="0"/>
      </w:pPr>
      <w:r>
        <w:t>本研究为环卫企业在数字化转型过程中提升运营效率提供了实践参考。</w:t>
      </w:r>
    </w:p>
    <w:p w14:paraId="765A22B1">
      <w:pPr>
        <w:pStyle w:val="30"/>
        <w:widowControl/>
        <w:ind w:firstLine="0" w:firstLineChars="0"/>
        <w:rPr>
          <w:rStyle w:val="31"/>
          <w:rFonts w:hint="eastAsia"/>
          <w:b/>
          <w:lang w:eastAsia="zh-CN"/>
        </w:rPr>
      </w:pPr>
    </w:p>
    <w:p w14:paraId="59A7EA05">
      <w:pPr>
        <w:pStyle w:val="30"/>
        <w:widowControl/>
        <w:ind w:firstLine="0" w:firstLineChars="0"/>
      </w:pPr>
      <w:r>
        <w:rPr>
          <w:rStyle w:val="31"/>
          <w:rFonts w:hint="eastAsia"/>
          <w:b/>
          <w:lang w:eastAsia="zh-CN"/>
        </w:rPr>
        <w:t>关键词：</w:t>
      </w:r>
      <w:r>
        <w:t xml:space="preserve"> 智慧环卫；运营效率；垃圾转运；业务流程再造；数字化管理</w:t>
      </w:r>
    </w:p>
    <w:p w14:paraId="53F9AE81">
      <w:pPr>
        <w:pStyle w:val="37"/>
        <w:keepNext/>
        <w:ind w:firstLine="0" w:firstLineChars="0"/>
        <w:rPr>
          <w:rStyle w:val="39"/>
          <w:rFonts w:hint="eastAsia"/>
          <w:b/>
          <w:lang w:eastAsia="zh-CN"/>
        </w:rPr>
        <w:sectPr>
          <w:headerReference r:id="rId7" w:type="default"/>
          <w:footerReference r:id="rId8" w:type="default"/>
          <w:type w:val="oddPage"/>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AndChars" w:linePitch="332" w:charSpace="879"/>
        </w:sectPr>
      </w:pPr>
    </w:p>
    <w:p w14:paraId="4E667A84">
      <w:pPr>
        <w:pStyle w:val="37"/>
        <w:ind w:firstLine="0" w:firstLineChars="0"/>
      </w:pPr>
      <w:r>
        <w:rPr>
          <w:rStyle w:val="39"/>
          <w:rFonts w:hint="eastAsia"/>
          <w:b/>
          <w:lang w:eastAsia="zh-CN"/>
        </w:rPr>
        <w:t>Abstract:</w:t>
      </w:r>
      <w:r>
        <w:t>With the continuous advancement of the "Digital China" strategy and rapid urban development, the traditional experience-based waste transfer model can no longer meet the increasing demand for efficient sanitation services. Under the "Dual Carbon" goals, improving operational efficiency while maintaining service quality has become a key issue for sanitation enterprises.</w:t>
      </w:r>
    </w:p>
    <w:p w14:paraId="4962EFAD">
      <w:pPr>
        <w:pStyle w:val="37"/>
        <w:ind w:firstLine="0" w:firstLineChars="0"/>
      </w:pPr>
      <w:r>
        <w:t>This study takes Hefei Huida Environmental Industry Co., Ltd. as a case to analyze the practical application of its smart sanitation platform. Although the company has implemented systems such as GPS tracking, fuel monitoring, and automatic weighing, several problems still exist in actual operations, including fragmented data, outdated scheduling methods, and limited performance evaluation mechanisms. These issues lead to low efficiency despite sufficient data support.</w:t>
      </w:r>
    </w:p>
    <w:p w14:paraId="69654115">
      <w:pPr>
        <w:pStyle w:val="38"/>
        <w:ind w:left="0" w:leftChars="0" w:firstLine="488" w:firstLineChars="200"/>
        <w:rPr>
          <w:rFonts w:hint="eastAsia"/>
        </w:rPr>
      </w:pPr>
    </w:p>
    <w:p w14:paraId="56CB7C68">
      <w:pPr>
        <w:pStyle w:val="37"/>
        <w:ind w:firstLine="0" w:firstLineChars="0"/>
      </w:pPr>
      <w:r>
        <w:t>Based on Business Process Reengineering (BPR) and fine management theory, this paper constructs an evaluation system covering cost, resource, and time efficiency using 2024 operational data. The results indicate that fixed scheduling and inefficient route management are the main causes of performance loss.</w:t>
      </w:r>
    </w:p>
    <w:p w14:paraId="749D078B">
      <w:pPr>
        <w:pStyle w:val="38"/>
        <w:ind w:left="0" w:leftChars="0" w:firstLine="488" w:firstLineChars="200"/>
        <w:rPr>
          <w:rFonts w:hint="eastAsia"/>
        </w:rPr>
      </w:pPr>
    </w:p>
    <w:p w14:paraId="18EFD9EF">
      <w:pPr>
        <w:pStyle w:val="37"/>
        <w:ind w:firstLine="0" w:firstLineChars="0"/>
      </w:pPr>
      <w:r>
        <w:t>To address these problems, three optimization strategies are proposed: dynamic scheduling based on real-time data, a Fuel-Weight-Distance (FWD) cost control model, and a data-driven performance evaluation system. Simulation results show that the optimized scheme can reduce unit transfer cost by about 12% and improve vehicle utilization.</w:t>
      </w:r>
    </w:p>
    <w:p w14:paraId="6A72F3EF">
      <w:pPr>
        <w:pStyle w:val="38"/>
        <w:ind w:left="0" w:leftChars="0" w:firstLine="488" w:firstLineChars="200"/>
        <w:rPr>
          <w:rFonts w:hint="eastAsia"/>
        </w:rPr>
      </w:pPr>
    </w:p>
    <w:p w14:paraId="4A81BFB5">
      <w:pPr>
        <w:pStyle w:val="37"/>
        <w:ind w:firstLine="0" w:firstLineChars="0"/>
      </w:pPr>
      <w:r>
        <w:t>This study provides a practical reference for improving efficiency in the digital transformation of sanitation enterprises.</w:t>
      </w:r>
    </w:p>
    <w:p w14:paraId="2D1C913F">
      <w:pPr>
        <w:pStyle w:val="38"/>
        <w:ind w:firstLine="0" w:firstLineChars="0"/>
        <w:rPr>
          <w:rStyle w:val="39"/>
          <w:rFonts w:hint="eastAsia"/>
          <w:b/>
          <w:lang w:eastAsia="zh-CN"/>
        </w:rPr>
      </w:pPr>
    </w:p>
    <w:p w14:paraId="3ABCDCD4">
      <w:pPr>
        <w:pStyle w:val="38"/>
        <w:ind w:firstLine="0" w:firstLineChars="0"/>
      </w:pPr>
      <w:r>
        <w:rPr>
          <w:rStyle w:val="39"/>
          <w:rFonts w:hint="eastAsia"/>
          <w:b/>
          <w:lang w:eastAsia="zh-CN"/>
        </w:rPr>
        <w:t>Keywords:</w:t>
      </w:r>
      <w:r>
        <w:t xml:space="preserve"> Smart Sanitation; Operational Efficiency; Waste Transfer; Business Process Reengineering; Digital Management</w:t>
      </w:r>
    </w:p>
    <w:p w14:paraId="116FFFFC">
      <w:pPr>
        <w:pStyle w:val="42"/>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AndChars" w:linePitch="332" w:charSpace="879"/>
        </w:sectPr>
      </w:pPr>
    </w:p>
    <w:p w14:paraId="2D42F4D7">
      <w:pPr>
        <w:pStyle w:val="42"/>
      </w:pPr>
      <w:r>
        <w:t>目</w:t>
      </w:r>
      <w:r>
        <w:rPr>
          <w:rFonts w:hint="eastAsia"/>
          <w:lang w:eastAsia="zh-CN"/>
        </w:rPr>
        <w:t xml:space="preserve">  </w:t>
      </w:r>
      <w:r>
        <w:t>录</w:t>
      </w:r>
    </w:p>
    <w:p w14:paraId="26FA6848">
      <w:pPr>
        <w:pStyle w:val="15"/>
        <w:tabs>
          <w:tab w:val="right" w:leader="dot" w:pos="8306"/>
        </w:tabs>
      </w:pPr>
      <w:r>
        <w:fldChar w:fldCharType="begin"/>
      </w:r>
      <w:r>
        <w:instrText xml:space="preserve">TOC \o "1-3" \h \u </w:instrText>
      </w:r>
      <w:r>
        <w:fldChar w:fldCharType="separate"/>
      </w:r>
      <w:r>
        <w:fldChar w:fldCharType="begin"/>
      </w:r>
      <w:r>
        <w:instrText xml:space="preserve"> HYPERLINK \l _Toc2134685932 </w:instrText>
      </w:r>
      <w:r>
        <w:fldChar w:fldCharType="separate"/>
      </w:r>
      <w:r>
        <w:rPr>
          <w:rFonts w:hint="eastAsia"/>
        </w:rPr>
        <w:t xml:space="preserve">第一章 </w:t>
      </w:r>
      <w:r>
        <w:t>绪论</w:t>
      </w:r>
      <w:r>
        <w:tab/>
      </w:r>
      <w:r>
        <w:fldChar w:fldCharType="begin"/>
      </w:r>
      <w:r>
        <w:instrText xml:space="preserve"> PAGEREF _Toc2134685932 \h </w:instrText>
      </w:r>
      <w:r>
        <w:fldChar w:fldCharType="separate"/>
      </w:r>
      <w:r>
        <w:t>1</w:t>
      </w:r>
      <w:r>
        <w:fldChar w:fldCharType="end"/>
      </w:r>
      <w:r>
        <w:fldChar w:fldCharType="end"/>
      </w:r>
    </w:p>
    <w:p w14:paraId="72494C06">
      <w:pPr>
        <w:pStyle w:val="17"/>
        <w:tabs>
          <w:tab w:val="right" w:leader="dot" w:pos="8306"/>
        </w:tabs>
      </w:pPr>
      <w:r>
        <w:fldChar w:fldCharType="begin"/>
      </w:r>
      <w:r>
        <w:instrText xml:space="preserve"> HYPERLINK \l _Toc1804652342 </w:instrText>
      </w:r>
      <w:r>
        <w:fldChar w:fldCharType="separate"/>
      </w:r>
      <w:r>
        <w:rPr>
          <w:rFonts w:hint="default"/>
        </w:rPr>
        <w:t xml:space="preserve">1.1 </w:t>
      </w:r>
      <w:r>
        <w:t>研究背景</w:t>
      </w:r>
      <w:r>
        <w:tab/>
      </w:r>
      <w:r>
        <w:fldChar w:fldCharType="begin"/>
      </w:r>
      <w:r>
        <w:instrText xml:space="preserve"> PAGEREF _Toc1804652342 \h </w:instrText>
      </w:r>
      <w:r>
        <w:fldChar w:fldCharType="separate"/>
      </w:r>
      <w:r>
        <w:t>1</w:t>
      </w:r>
      <w:r>
        <w:fldChar w:fldCharType="end"/>
      </w:r>
      <w:r>
        <w:fldChar w:fldCharType="end"/>
      </w:r>
    </w:p>
    <w:p w14:paraId="780D391A">
      <w:pPr>
        <w:pStyle w:val="12"/>
        <w:tabs>
          <w:tab w:val="right" w:leader="dot" w:pos="8306"/>
        </w:tabs>
      </w:pPr>
      <w:r>
        <w:fldChar w:fldCharType="begin"/>
      </w:r>
      <w:r>
        <w:instrText xml:space="preserve"> HYPERLINK \l _Toc1880365413 </w:instrText>
      </w:r>
      <w:r>
        <w:fldChar w:fldCharType="separate"/>
      </w:r>
      <w:r>
        <w:rPr>
          <w:rFonts w:hint="default"/>
        </w:rPr>
        <w:t xml:space="preserve">1.1.1 </w:t>
      </w:r>
      <w:r>
        <w:t>宏观背景：数字时代的环卫变革与“双碳”压力</w:t>
      </w:r>
      <w:r>
        <w:tab/>
      </w:r>
      <w:r>
        <w:fldChar w:fldCharType="begin"/>
      </w:r>
      <w:r>
        <w:instrText xml:space="preserve"> PAGEREF _Toc1880365413 \h </w:instrText>
      </w:r>
      <w:r>
        <w:fldChar w:fldCharType="separate"/>
      </w:r>
      <w:r>
        <w:t>1</w:t>
      </w:r>
      <w:r>
        <w:fldChar w:fldCharType="end"/>
      </w:r>
      <w:r>
        <w:fldChar w:fldCharType="end"/>
      </w:r>
    </w:p>
    <w:p w14:paraId="4CADF8A3">
      <w:pPr>
        <w:pStyle w:val="12"/>
        <w:tabs>
          <w:tab w:val="right" w:leader="dot" w:pos="8306"/>
        </w:tabs>
      </w:pPr>
      <w:r>
        <w:fldChar w:fldCharType="begin"/>
      </w:r>
      <w:r>
        <w:instrText xml:space="preserve"> HYPERLINK \l _Toc932147039 </w:instrText>
      </w:r>
      <w:r>
        <w:fldChar w:fldCharType="separate"/>
      </w:r>
      <w:r>
        <w:rPr>
          <w:rFonts w:hint="default"/>
        </w:rPr>
        <w:t xml:space="preserve">1.1.2 </w:t>
      </w:r>
      <w:r>
        <w:t>微观背景：合肥城市更新与辉达公司的挑战</w:t>
      </w:r>
      <w:r>
        <w:tab/>
      </w:r>
      <w:r>
        <w:fldChar w:fldCharType="begin"/>
      </w:r>
      <w:r>
        <w:instrText xml:space="preserve"> PAGEREF _Toc932147039 \h </w:instrText>
      </w:r>
      <w:r>
        <w:fldChar w:fldCharType="separate"/>
      </w:r>
      <w:r>
        <w:t>1</w:t>
      </w:r>
      <w:r>
        <w:fldChar w:fldCharType="end"/>
      </w:r>
      <w:r>
        <w:fldChar w:fldCharType="end"/>
      </w:r>
    </w:p>
    <w:p w14:paraId="1A4A4FD1">
      <w:pPr>
        <w:pStyle w:val="17"/>
        <w:tabs>
          <w:tab w:val="right" w:leader="dot" w:pos="8306"/>
        </w:tabs>
      </w:pPr>
      <w:r>
        <w:fldChar w:fldCharType="begin"/>
      </w:r>
      <w:r>
        <w:instrText xml:space="preserve"> HYPERLINK \l _Toc702079608 </w:instrText>
      </w:r>
      <w:r>
        <w:fldChar w:fldCharType="separate"/>
      </w:r>
      <w:r>
        <w:rPr>
          <w:rFonts w:hint="default"/>
        </w:rPr>
        <w:t xml:space="preserve">1.2 </w:t>
      </w:r>
      <w:r>
        <w:t>研究意义</w:t>
      </w:r>
      <w:r>
        <w:tab/>
      </w:r>
      <w:r>
        <w:fldChar w:fldCharType="begin"/>
      </w:r>
      <w:r>
        <w:instrText xml:space="preserve"> PAGEREF _Toc702079608 \h </w:instrText>
      </w:r>
      <w:r>
        <w:fldChar w:fldCharType="separate"/>
      </w:r>
      <w:r>
        <w:t>2</w:t>
      </w:r>
      <w:r>
        <w:fldChar w:fldCharType="end"/>
      </w:r>
      <w:r>
        <w:fldChar w:fldCharType="end"/>
      </w:r>
    </w:p>
    <w:p w14:paraId="5B98D2BF">
      <w:pPr>
        <w:pStyle w:val="12"/>
        <w:tabs>
          <w:tab w:val="right" w:leader="dot" w:pos="8306"/>
        </w:tabs>
      </w:pPr>
      <w:r>
        <w:fldChar w:fldCharType="begin"/>
      </w:r>
      <w:r>
        <w:instrText xml:space="preserve"> HYPERLINK \l _Toc1576815038 </w:instrText>
      </w:r>
      <w:r>
        <w:fldChar w:fldCharType="separate"/>
      </w:r>
      <w:r>
        <w:rPr>
          <w:rFonts w:hint="default"/>
        </w:rPr>
        <w:t xml:space="preserve">1.2.1 </w:t>
      </w:r>
      <w:r>
        <w:t>理论意义</w:t>
      </w:r>
      <w:r>
        <w:tab/>
      </w:r>
      <w:r>
        <w:fldChar w:fldCharType="begin"/>
      </w:r>
      <w:r>
        <w:instrText xml:space="preserve"> PAGEREF _Toc1576815038 \h </w:instrText>
      </w:r>
      <w:r>
        <w:fldChar w:fldCharType="separate"/>
      </w:r>
      <w:r>
        <w:t>2</w:t>
      </w:r>
      <w:r>
        <w:fldChar w:fldCharType="end"/>
      </w:r>
      <w:r>
        <w:fldChar w:fldCharType="end"/>
      </w:r>
    </w:p>
    <w:p w14:paraId="148851A2">
      <w:pPr>
        <w:pStyle w:val="12"/>
        <w:tabs>
          <w:tab w:val="right" w:leader="dot" w:pos="8306"/>
        </w:tabs>
      </w:pPr>
      <w:r>
        <w:fldChar w:fldCharType="begin"/>
      </w:r>
      <w:r>
        <w:instrText xml:space="preserve"> HYPERLINK \l _Toc1582139686 </w:instrText>
      </w:r>
      <w:r>
        <w:fldChar w:fldCharType="separate"/>
      </w:r>
      <w:r>
        <w:rPr>
          <w:rFonts w:hint="default"/>
        </w:rPr>
        <w:t xml:space="preserve">1.2.2 </w:t>
      </w:r>
      <w:r>
        <w:t>实践意义</w:t>
      </w:r>
      <w:r>
        <w:tab/>
      </w:r>
      <w:r>
        <w:fldChar w:fldCharType="begin"/>
      </w:r>
      <w:r>
        <w:instrText xml:space="preserve"> PAGEREF _Toc1582139686 \h </w:instrText>
      </w:r>
      <w:r>
        <w:fldChar w:fldCharType="separate"/>
      </w:r>
      <w:r>
        <w:t>2</w:t>
      </w:r>
      <w:r>
        <w:fldChar w:fldCharType="end"/>
      </w:r>
      <w:r>
        <w:fldChar w:fldCharType="end"/>
      </w:r>
    </w:p>
    <w:p w14:paraId="27560437">
      <w:pPr>
        <w:pStyle w:val="17"/>
        <w:tabs>
          <w:tab w:val="right" w:leader="dot" w:pos="8306"/>
        </w:tabs>
      </w:pPr>
      <w:r>
        <w:fldChar w:fldCharType="begin"/>
      </w:r>
      <w:r>
        <w:instrText xml:space="preserve"> HYPERLINK \l _Toc879185448 </w:instrText>
      </w:r>
      <w:r>
        <w:fldChar w:fldCharType="separate"/>
      </w:r>
      <w:r>
        <w:rPr>
          <w:rFonts w:hint="default"/>
        </w:rPr>
        <w:t xml:space="preserve">1.3 </w:t>
      </w:r>
      <w:r>
        <w:t>研究内容与方法</w:t>
      </w:r>
      <w:r>
        <w:tab/>
      </w:r>
      <w:r>
        <w:fldChar w:fldCharType="begin"/>
      </w:r>
      <w:r>
        <w:instrText xml:space="preserve"> PAGEREF _Toc879185448 \h </w:instrText>
      </w:r>
      <w:r>
        <w:fldChar w:fldCharType="separate"/>
      </w:r>
      <w:r>
        <w:t>2</w:t>
      </w:r>
      <w:r>
        <w:fldChar w:fldCharType="end"/>
      </w:r>
      <w:r>
        <w:fldChar w:fldCharType="end"/>
      </w:r>
    </w:p>
    <w:p w14:paraId="775BD994">
      <w:pPr>
        <w:pStyle w:val="15"/>
        <w:tabs>
          <w:tab w:val="right" w:leader="dot" w:pos="8306"/>
        </w:tabs>
      </w:pPr>
      <w:r>
        <w:fldChar w:fldCharType="begin"/>
      </w:r>
      <w:r>
        <w:instrText xml:space="preserve"> HYPERLINK \l _Toc1782333176 </w:instrText>
      </w:r>
      <w:r>
        <w:fldChar w:fldCharType="separate"/>
      </w:r>
      <w:r>
        <w:rPr>
          <w:rFonts w:hint="eastAsia"/>
        </w:rPr>
        <w:t xml:space="preserve">第二章 </w:t>
      </w:r>
      <w:r>
        <w:t>理论基础与文献综述</w:t>
      </w:r>
      <w:r>
        <w:tab/>
      </w:r>
      <w:r>
        <w:fldChar w:fldCharType="begin"/>
      </w:r>
      <w:r>
        <w:instrText xml:space="preserve"> PAGEREF _Toc1782333176 \h </w:instrText>
      </w:r>
      <w:r>
        <w:fldChar w:fldCharType="separate"/>
      </w:r>
      <w:r>
        <w:t>3</w:t>
      </w:r>
      <w:r>
        <w:fldChar w:fldCharType="end"/>
      </w:r>
      <w:r>
        <w:fldChar w:fldCharType="end"/>
      </w:r>
    </w:p>
    <w:p w14:paraId="6C709B29">
      <w:pPr>
        <w:pStyle w:val="17"/>
        <w:tabs>
          <w:tab w:val="right" w:leader="dot" w:pos="8306"/>
        </w:tabs>
      </w:pPr>
      <w:r>
        <w:fldChar w:fldCharType="begin"/>
      </w:r>
      <w:r>
        <w:instrText xml:space="preserve"> HYPERLINK \l _Toc424297029 </w:instrText>
      </w:r>
      <w:r>
        <w:fldChar w:fldCharType="separate"/>
      </w:r>
      <w:r>
        <w:rPr>
          <w:rFonts w:hint="default"/>
        </w:rPr>
        <w:t xml:space="preserve">2.1 </w:t>
      </w:r>
      <w:r>
        <w:t>相关概念界定</w:t>
      </w:r>
      <w:r>
        <w:tab/>
      </w:r>
      <w:r>
        <w:fldChar w:fldCharType="begin"/>
      </w:r>
      <w:r>
        <w:instrText xml:space="preserve"> PAGEREF _Toc424297029 \h </w:instrText>
      </w:r>
      <w:r>
        <w:fldChar w:fldCharType="separate"/>
      </w:r>
      <w:r>
        <w:t>3</w:t>
      </w:r>
      <w:r>
        <w:fldChar w:fldCharType="end"/>
      </w:r>
      <w:r>
        <w:fldChar w:fldCharType="end"/>
      </w:r>
    </w:p>
    <w:p w14:paraId="0F459EB3">
      <w:pPr>
        <w:pStyle w:val="12"/>
        <w:tabs>
          <w:tab w:val="right" w:leader="dot" w:pos="8306"/>
        </w:tabs>
      </w:pPr>
      <w:r>
        <w:fldChar w:fldCharType="begin"/>
      </w:r>
      <w:r>
        <w:instrText xml:space="preserve"> HYPERLINK \l _Toc1514458363 </w:instrText>
      </w:r>
      <w:r>
        <w:fldChar w:fldCharType="separate"/>
      </w:r>
      <w:r>
        <w:rPr>
          <w:rFonts w:hint="default"/>
        </w:rPr>
        <w:t xml:space="preserve">2.1.1 </w:t>
      </w:r>
      <w:r>
        <w:t>智慧环卫 (Smart Sanitation)</w:t>
      </w:r>
      <w:r>
        <w:tab/>
      </w:r>
      <w:r>
        <w:fldChar w:fldCharType="begin"/>
      </w:r>
      <w:r>
        <w:instrText xml:space="preserve"> PAGEREF _Toc1514458363 \h </w:instrText>
      </w:r>
      <w:r>
        <w:fldChar w:fldCharType="separate"/>
      </w:r>
      <w:r>
        <w:t>3</w:t>
      </w:r>
      <w:r>
        <w:fldChar w:fldCharType="end"/>
      </w:r>
      <w:r>
        <w:fldChar w:fldCharType="end"/>
      </w:r>
    </w:p>
    <w:p w14:paraId="550FEDF5">
      <w:pPr>
        <w:pStyle w:val="12"/>
        <w:tabs>
          <w:tab w:val="right" w:leader="dot" w:pos="8306"/>
        </w:tabs>
      </w:pPr>
      <w:r>
        <w:fldChar w:fldCharType="begin"/>
      </w:r>
      <w:r>
        <w:instrText xml:space="preserve"> HYPERLINK \l _Toc1525522697 </w:instrText>
      </w:r>
      <w:r>
        <w:fldChar w:fldCharType="separate"/>
      </w:r>
      <w:r>
        <w:rPr>
          <w:rFonts w:hint="default"/>
        </w:rPr>
        <w:t xml:space="preserve">2.1.2 </w:t>
      </w:r>
      <w:r>
        <w:t>运营效率 (Operational Efficiency)</w:t>
      </w:r>
      <w:r>
        <w:tab/>
      </w:r>
      <w:r>
        <w:fldChar w:fldCharType="begin"/>
      </w:r>
      <w:r>
        <w:instrText xml:space="preserve"> PAGEREF _Toc1525522697 \h </w:instrText>
      </w:r>
      <w:r>
        <w:fldChar w:fldCharType="separate"/>
      </w:r>
      <w:r>
        <w:t>3</w:t>
      </w:r>
      <w:r>
        <w:fldChar w:fldCharType="end"/>
      </w:r>
      <w:r>
        <w:fldChar w:fldCharType="end"/>
      </w:r>
    </w:p>
    <w:p w14:paraId="6DC0F5EE">
      <w:pPr>
        <w:pStyle w:val="12"/>
        <w:tabs>
          <w:tab w:val="right" w:leader="dot" w:pos="8306"/>
        </w:tabs>
      </w:pPr>
      <w:r>
        <w:fldChar w:fldCharType="begin"/>
      </w:r>
      <w:r>
        <w:instrText xml:space="preserve"> HYPERLINK \l _Toc652706946 </w:instrText>
      </w:r>
      <w:r>
        <w:fldChar w:fldCharType="separate"/>
      </w:r>
      <w:r>
        <w:rPr>
          <w:rFonts w:hint="default"/>
        </w:rPr>
        <w:t xml:space="preserve">2.1.3 </w:t>
      </w:r>
      <w:r>
        <w:t>车辆路径问题 (VRP)</w:t>
      </w:r>
      <w:r>
        <w:tab/>
      </w:r>
      <w:r>
        <w:fldChar w:fldCharType="begin"/>
      </w:r>
      <w:r>
        <w:instrText xml:space="preserve"> PAGEREF _Toc652706946 \h </w:instrText>
      </w:r>
      <w:r>
        <w:fldChar w:fldCharType="separate"/>
      </w:r>
      <w:r>
        <w:t>3</w:t>
      </w:r>
      <w:r>
        <w:fldChar w:fldCharType="end"/>
      </w:r>
      <w:r>
        <w:fldChar w:fldCharType="end"/>
      </w:r>
    </w:p>
    <w:p w14:paraId="70A11E81">
      <w:pPr>
        <w:pStyle w:val="17"/>
        <w:tabs>
          <w:tab w:val="right" w:leader="dot" w:pos="8306"/>
        </w:tabs>
      </w:pPr>
      <w:r>
        <w:fldChar w:fldCharType="begin"/>
      </w:r>
      <w:r>
        <w:instrText xml:space="preserve"> HYPERLINK \l _Toc699172546 </w:instrText>
      </w:r>
      <w:r>
        <w:fldChar w:fldCharType="separate"/>
      </w:r>
      <w:r>
        <w:rPr>
          <w:rFonts w:hint="default"/>
        </w:rPr>
        <w:t xml:space="preserve">2.2 </w:t>
      </w:r>
      <w:r>
        <w:t>国内外研究现状</w:t>
      </w:r>
      <w:r>
        <w:tab/>
      </w:r>
      <w:r>
        <w:fldChar w:fldCharType="begin"/>
      </w:r>
      <w:r>
        <w:instrText xml:space="preserve"> PAGEREF _Toc699172546 \h </w:instrText>
      </w:r>
      <w:r>
        <w:fldChar w:fldCharType="separate"/>
      </w:r>
      <w:r>
        <w:t>3</w:t>
      </w:r>
      <w:r>
        <w:fldChar w:fldCharType="end"/>
      </w:r>
      <w:r>
        <w:fldChar w:fldCharType="end"/>
      </w:r>
    </w:p>
    <w:p w14:paraId="54432FA5">
      <w:pPr>
        <w:pStyle w:val="12"/>
        <w:tabs>
          <w:tab w:val="right" w:leader="dot" w:pos="8306"/>
        </w:tabs>
      </w:pPr>
      <w:r>
        <w:fldChar w:fldCharType="begin"/>
      </w:r>
      <w:r>
        <w:instrText xml:space="preserve"> HYPERLINK \l _Toc2109947885 </w:instrText>
      </w:r>
      <w:r>
        <w:fldChar w:fldCharType="separate"/>
      </w:r>
      <w:r>
        <w:rPr>
          <w:rFonts w:hint="default"/>
        </w:rPr>
        <w:t xml:space="preserve">2.2.1 </w:t>
      </w:r>
      <w:r>
        <w:t>国外研究现状</w:t>
      </w:r>
      <w:r>
        <w:tab/>
      </w:r>
      <w:r>
        <w:fldChar w:fldCharType="begin"/>
      </w:r>
      <w:r>
        <w:instrText xml:space="preserve"> PAGEREF _Toc2109947885 \h </w:instrText>
      </w:r>
      <w:r>
        <w:fldChar w:fldCharType="separate"/>
      </w:r>
      <w:r>
        <w:t>3</w:t>
      </w:r>
      <w:r>
        <w:fldChar w:fldCharType="end"/>
      </w:r>
      <w:r>
        <w:fldChar w:fldCharType="end"/>
      </w:r>
    </w:p>
    <w:p w14:paraId="42B534E5">
      <w:pPr>
        <w:pStyle w:val="12"/>
        <w:tabs>
          <w:tab w:val="right" w:leader="dot" w:pos="8306"/>
        </w:tabs>
      </w:pPr>
      <w:r>
        <w:fldChar w:fldCharType="begin"/>
      </w:r>
      <w:r>
        <w:instrText xml:space="preserve"> HYPERLINK \l _Toc496640284 </w:instrText>
      </w:r>
      <w:r>
        <w:fldChar w:fldCharType="separate"/>
      </w:r>
      <w:r>
        <w:rPr>
          <w:rFonts w:hint="default"/>
        </w:rPr>
        <w:t xml:space="preserve">2.2.2 </w:t>
      </w:r>
      <w:r>
        <w:t>国内研究现状</w:t>
      </w:r>
      <w:r>
        <w:tab/>
      </w:r>
      <w:r>
        <w:fldChar w:fldCharType="begin"/>
      </w:r>
      <w:r>
        <w:instrText xml:space="preserve"> PAGEREF _Toc496640284 \h </w:instrText>
      </w:r>
      <w:r>
        <w:fldChar w:fldCharType="separate"/>
      </w:r>
      <w:r>
        <w:t>4</w:t>
      </w:r>
      <w:r>
        <w:fldChar w:fldCharType="end"/>
      </w:r>
      <w:r>
        <w:fldChar w:fldCharType="end"/>
      </w:r>
    </w:p>
    <w:p w14:paraId="63D04013">
      <w:pPr>
        <w:pStyle w:val="17"/>
        <w:tabs>
          <w:tab w:val="right" w:leader="dot" w:pos="8306"/>
        </w:tabs>
      </w:pPr>
      <w:r>
        <w:fldChar w:fldCharType="begin"/>
      </w:r>
      <w:r>
        <w:instrText xml:space="preserve"> HYPERLINK \l _Toc1911800946 </w:instrText>
      </w:r>
      <w:r>
        <w:fldChar w:fldCharType="separate"/>
      </w:r>
      <w:r>
        <w:rPr>
          <w:rFonts w:hint="default"/>
        </w:rPr>
        <w:t xml:space="preserve">2.3 </w:t>
      </w:r>
      <w:r>
        <w:t>理论基础</w:t>
      </w:r>
      <w:r>
        <w:tab/>
      </w:r>
      <w:r>
        <w:fldChar w:fldCharType="begin"/>
      </w:r>
      <w:r>
        <w:instrText xml:space="preserve"> PAGEREF _Toc1911800946 \h </w:instrText>
      </w:r>
      <w:r>
        <w:fldChar w:fldCharType="separate"/>
      </w:r>
      <w:r>
        <w:t>4</w:t>
      </w:r>
      <w:r>
        <w:fldChar w:fldCharType="end"/>
      </w:r>
      <w:r>
        <w:fldChar w:fldCharType="end"/>
      </w:r>
    </w:p>
    <w:p w14:paraId="097E9233">
      <w:pPr>
        <w:pStyle w:val="12"/>
        <w:tabs>
          <w:tab w:val="right" w:leader="dot" w:pos="8306"/>
        </w:tabs>
      </w:pPr>
      <w:r>
        <w:fldChar w:fldCharType="begin"/>
      </w:r>
      <w:r>
        <w:instrText xml:space="preserve"> HYPERLINK \l _Toc988173008 </w:instrText>
      </w:r>
      <w:r>
        <w:fldChar w:fldCharType="separate"/>
      </w:r>
      <w:r>
        <w:rPr>
          <w:rFonts w:hint="default"/>
        </w:rPr>
        <w:t xml:space="preserve">2.3.1 </w:t>
      </w:r>
      <w:r>
        <w:t>业务流程再造理论 (BPR)</w:t>
      </w:r>
      <w:r>
        <w:tab/>
      </w:r>
      <w:r>
        <w:fldChar w:fldCharType="begin"/>
      </w:r>
      <w:r>
        <w:instrText xml:space="preserve"> PAGEREF _Toc988173008 \h </w:instrText>
      </w:r>
      <w:r>
        <w:fldChar w:fldCharType="separate"/>
      </w:r>
      <w:r>
        <w:t>4</w:t>
      </w:r>
      <w:r>
        <w:fldChar w:fldCharType="end"/>
      </w:r>
      <w:r>
        <w:fldChar w:fldCharType="end"/>
      </w:r>
    </w:p>
    <w:p w14:paraId="5F7E0F04">
      <w:pPr>
        <w:pStyle w:val="12"/>
        <w:tabs>
          <w:tab w:val="right" w:leader="dot" w:pos="8306"/>
        </w:tabs>
      </w:pPr>
      <w:r>
        <w:fldChar w:fldCharType="begin"/>
      </w:r>
      <w:r>
        <w:instrText xml:space="preserve"> HYPERLINK \l _Toc1732703205 </w:instrText>
      </w:r>
      <w:r>
        <w:fldChar w:fldCharType="separate"/>
      </w:r>
      <w:r>
        <w:rPr>
          <w:rFonts w:hint="default"/>
        </w:rPr>
        <w:t xml:space="preserve">2.3.2 </w:t>
      </w:r>
      <w:r>
        <w:t>精细化管理理论</w:t>
      </w:r>
      <w:r>
        <w:tab/>
      </w:r>
      <w:r>
        <w:fldChar w:fldCharType="begin"/>
      </w:r>
      <w:r>
        <w:instrText xml:space="preserve"> PAGEREF _Toc1732703205 \h </w:instrText>
      </w:r>
      <w:r>
        <w:fldChar w:fldCharType="separate"/>
      </w:r>
      <w:r>
        <w:t>4</w:t>
      </w:r>
      <w:r>
        <w:fldChar w:fldCharType="end"/>
      </w:r>
      <w:r>
        <w:fldChar w:fldCharType="end"/>
      </w:r>
    </w:p>
    <w:p w14:paraId="79D69099">
      <w:pPr>
        <w:pStyle w:val="12"/>
        <w:tabs>
          <w:tab w:val="right" w:leader="dot" w:pos="8306"/>
        </w:tabs>
      </w:pPr>
      <w:r>
        <w:fldChar w:fldCharType="begin"/>
      </w:r>
      <w:r>
        <w:instrText xml:space="preserve"> HYPERLINK \l _Toc1664513115 </w:instrText>
      </w:r>
      <w:r>
        <w:fldChar w:fldCharType="separate"/>
      </w:r>
      <w:r>
        <w:rPr>
          <w:rFonts w:hint="default"/>
        </w:rPr>
        <w:t xml:space="preserve">2.3.3 </w:t>
      </w:r>
      <w:r>
        <w:t>BPR理论适用性分析</w:t>
      </w:r>
      <w:r>
        <w:tab/>
      </w:r>
      <w:r>
        <w:fldChar w:fldCharType="begin"/>
      </w:r>
      <w:r>
        <w:instrText xml:space="preserve"> PAGEREF _Toc1664513115 \h </w:instrText>
      </w:r>
      <w:r>
        <w:fldChar w:fldCharType="separate"/>
      </w:r>
      <w:r>
        <w:t>4</w:t>
      </w:r>
      <w:r>
        <w:fldChar w:fldCharType="end"/>
      </w:r>
      <w:r>
        <w:fldChar w:fldCharType="end"/>
      </w:r>
    </w:p>
    <w:p w14:paraId="16637898">
      <w:pPr>
        <w:pStyle w:val="17"/>
        <w:tabs>
          <w:tab w:val="right" w:leader="dot" w:pos="8306"/>
        </w:tabs>
      </w:pPr>
      <w:r>
        <w:fldChar w:fldCharType="begin"/>
      </w:r>
      <w:r>
        <w:instrText xml:space="preserve"> HYPERLINK \l _Toc202454336 </w:instrText>
      </w:r>
      <w:r>
        <w:fldChar w:fldCharType="separate"/>
      </w:r>
      <w:r>
        <w:rPr>
          <w:rFonts w:hint="default"/>
        </w:rPr>
        <w:t xml:space="preserve">2.4 </w:t>
      </w:r>
      <w:r>
        <w:t>数字化转型分析框架</w:t>
      </w:r>
      <w:r>
        <w:tab/>
      </w:r>
      <w:r>
        <w:fldChar w:fldCharType="begin"/>
      </w:r>
      <w:r>
        <w:instrText xml:space="preserve"> PAGEREF _Toc202454336 \h </w:instrText>
      </w:r>
      <w:r>
        <w:fldChar w:fldCharType="separate"/>
      </w:r>
      <w:r>
        <w:t>5</w:t>
      </w:r>
      <w:r>
        <w:fldChar w:fldCharType="end"/>
      </w:r>
      <w:r>
        <w:fldChar w:fldCharType="end"/>
      </w:r>
    </w:p>
    <w:p w14:paraId="49FC2AE9">
      <w:pPr>
        <w:pStyle w:val="15"/>
        <w:tabs>
          <w:tab w:val="right" w:leader="dot" w:pos="8306"/>
        </w:tabs>
      </w:pPr>
      <w:r>
        <w:fldChar w:fldCharType="begin"/>
      </w:r>
      <w:r>
        <w:instrText xml:space="preserve"> HYPERLINK \l _Toc1035928304 </w:instrText>
      </w:r>
      <w:r>
        <w:fldChar w:fldCharType="separate"/>
      </w:r>
      <w:r>
        <w:rPr>
          <w:rFonts w:hint="eastAsia"/>
        </w:rPr>
        <w:t xml:space="preserve">第三章 </w:t>
      </w:r>
      <w:r>
        <w:t>合肥辉达公司垃圾转运运营现状及问题诊断</w:t>
      </w:r>
      <w:r>
        <w:tab/>
      </w:r>
      <w:r>
        <w:fldChar w:fldCharType="begin"/>
      </w:r>
      <w:r>
        <w:instrText xml:space="preserve"> PAGEREF _Toc1035928304 \h </w:instrText>
      </w:r>
      <w:r>
        <w:fldChar w:fldCharType="separate"/>
      </w:r>
      <w:r>
        <w:t>5</w:t>
      </w:r>
      <w:r>
        <w:fldChar w:fldCharType="end"/>
      </w:r>
      <w:r>
        <w:fldChar w:fldCharType="end"/>
      </w:r>
    </w:p>
    <w:p w14:paraId="485287CD">
      <w:pPr>
        <w:pStyle w:val="17"/>
        <w:tabs>
          <w:tab w:val="right" w:leader="dot" w:pos="8306"/>
        </w:tabs>
      </w:pPr>
      <w:r>
        <w:fldChar w:fldCharType="begin"/>
      </w:r>
      <w:r>
        <w:instrText xml:space="preserve"> HYPERLINK \l _Toc1197079099 </w:instrText>
      </w:r>
      <w:r>
        <w:fldChar w:fldCharType="separate"/>
      </w:r>
      <w:r>
        <w:rPr>
          <w:rFonts w:hint="default"/>
        </w:rPr>
        <w:t xml:space="preserve">3.1 </w:t>
      </w:r>
      <w:r>
        <w:t>公司及智慧平台概况</w:t>
      </w:r>
      <w:r>
        <w:tab/>
      </w:r>
      <w:r>
        <w:fldChar w:fldCharType="begin"/>
      </w:r>
      <w:r>
        <w:instrText xml:space="preserve"> PAGEREF _Toc1197079099 \h </w:instrText>
      </w:r>
      <w:r>
        <w:fldChar w:fldCharType="separate"/>
      </w:r>
      <w:r>
        <w:t>5</w:t>
      </w:r>
      <w:r>
        <w:fldChar w:fldCharType="end"/>
      </w:r>
      <w:r>
        <w:fldChar w:fldCharType="end"/>
      </w:r>
    </w:p>
    <w:p w14:paraId="001310A5">
      <w:pPr>
        <w:pStyle w:val="17"/>
        <w:tabs>
          <w:tab w:val="right" w:leader="dot" w:pos="8306"/>
        </w:tabs>
      </w:pPr>
      <w:r>
        <w:fldChar w:fldCharType="begin"/>
      </w:r>
      <w:r>
        <w:instrText xml:space="preserve"> HYPERLINK \l _Toc1681611797 </w:instrText>
      </w:r>
      <w:r>
        <w:fldChar w:fldCharType="separate"/>
      </w:r>
      <w:r>
        <w:rPr>
          <w:rFonts w:hint="default"/>
        </w:rPr>
        <w:t xml:space="preserve">3.2 </w:t>
      </w:r>
      <w:r>
        <w:t>运营现状数据呈现</w:t>
      </w:r>
      <w:r>
        <w:tab/>
      </w:r>
      <w:r>
        <w:fldChar w:fldCharType="begin"/>
      </w:r>
      <w:r>
        <w:instrText xml:space="preserve"> PAGEREF _Toc1681611797 \h </w:instrText>
      </w:r>
      <w:r>
        <w:fldChar w:fldCharType="separate"/>
      </w:r>
      <w:r>
        <w:t>5</w:t>
      </w:r>
      <w:r>
        <w:fldChar w:fldCharType="end"/>
      </w:r>
      <w:r>
        <w:fldChar w:fldCharType="end"/>
      </w:r>
    </w:p>
    <w:p w14:paraId="7017EF5D">
      <w:pPr>
        <w:pStyle w:val="17"/>
        <w:tabs>
          <w:tab w:val="right" w:leader="dot" w:pos="8306"/>
        </w:tabs>
      </w:pPr>
      <w:r>
        <w:fldChar w:fldCharType="begin"/>
      </w:r>
      <w:r>
        <w:instrText xml:space="preserve"> HYPERLINK \l _Toc1964677659 </w:instrText>
      </w:r>
      <w:r>
        <w:fldChar w:fldCharType="separate"/>
      </w:r>
      <w:r>
        <w:rPr>
          <w:rFonts w:hint="default"/>
        </w:rPr>
        <w:t xml:space="preserve">3.3 </w:t>
      </w:r>
      <w:r>
        <w:t>运营效率评价指标体系构建</w:t>
      </w:r>
      <w:r>
        <w:tab/>
      </w:r>
      <w:r>
        <w:fldChar w:fldCharType="begin"/>
      </w:r>
      <w:r>
        <w:instrText xml:space="preserve"> PAGEREF _Toc1964677659 \h </w:instrText>
      </w:r>
      <w:r>
        <w:fldChar w:fldCharType="separate"/>
      </w:r>
      <w:r>
        <w:t>6</w:t>
      </w:r>
      <w:r>
        <w:fldChar w:fldCharType="end"/>
      </w:r>
      <w:r>
        <w:fldChar w:fldCharType="end"/>
      </w:r>
    </w:p>
    <w:p w14:paraId="5C45767C">
      <w:pPr>
        <w:pStyle w:val="17"/>
        <w:tabs>
          <w:tab w:val="right" w:leader="dot" w:pos="8306"/>
        </w:tabs>
      </w:pPr>
      <w:r>
        <w:fldChar w:fldCharType="begin"/>
      </w:r>
      <w:r>
        <w:instrText xml:space="preserve"> HYPERLINK \l _Toc628858541 </w:instrText>
      </w:r>
      <w:r>
        <w:fldChar w:fldCharType="separate"/>
      </w:r>
      <w:r>
        <w:rPr>
          <w:rFonts w:hint="default"/>
        </w:rPr>
        <w:t xml:space="preserve">3.4 </w:t>
      </w:r>
      <w:r>
        <w:t>基于数据的运营效率问题诊断</w:t>
      </w:r>
      <w:r>
        <w:tab/>
      </w:r>
      <w:r>
        <w:fldChar w:fldCharType="begin"/>
      </w:r>
      <w:r>
        <w:instrText xml:space="preserve"> PAGEREF _Toc628858541 \h </w:instrText>
      </w:r>
      <w:r>
        <w:fldChar w:fldCharType="separate"/>
      </w:r>
      <w:r>
        <w:t>6</w:t>
      </w:r>
      <w:r>
        <w:fldChar w:fldCharType="end"/>
      </w:r>
      <w:r>
        <w:fldChar w:fldCharType="end"/>
      </w:r>
    </w:p>
    <w:p w14:paraId="3D9F01CB">
      <w:pPr>
        <w:pStyle w:val="15"/>
        <w:tabs>
          <w:tab w:val="right" w:leader="dot" w:pos="8306"/>
        </w:tabs>
      </w:pPr>
      <w:r>
        <w:fldChar w:fldCharType="begin"/>
      </w:r>
      <w:r>
        <w:instrText xml:space="preserve"> HYPERLINK \l _Toc1458471700 </w:instrText>
      </w:r>
      <w:r>
        <w:fldChar w:fldCharType="separate"/>
      </w:r>
      <w:r>
        <w:rPr>
          <w:rFonts w:hint="eastAsia"/>
        </w:rPr>
        <w:t xml:space="preserve">第四章 </w:t>
      </w:r>
      <w:r>
        <w:t>辉达公司垃圾转运运营效率优化方案设计</w:t>
      </w:r>
      <w:r>
        <w:tab/>
      </w:r>
      <w:r>
        <w:fldChar w:fldCharType="begin"/>
      </w:r>
      <w:r>
        <w:instrText xml:space="preserve"> PAGEREF _Toc1458471700 \h </w:instrText>
      </w:r>
      <w:r>
        <w:fldChar w:fldCharType="separate"/>
      </w:r>
      <w:r>
        <w:t>7</w:t>
      </w:r>
      <w:r>
        <w:fldChar w:fldCharType="end"/>
      </w:r>
      <w:r>
        <w:fldChar w:fldCharType="end"/>
      </w:r>
    </w:p>
    <w:p w14:paraId="4B3A648C">
      <w:pPr>
        <w:pStyle w:val="17"/>
        <w:tabs>
          <w:tab w:val="right" w:leader="dot" w:pos="8306"/>
        </w:tabs>
      </w:pPr>
      <w:r>
        <w:fldChar w:fldCharType="begin"/>
      </w:r>
      <w:r>
        <w:instrText xml:space="preserve"> HYPERLINK \l _Toc1155515042 </w:instrText>
      </w:r>
      <w:r>
        <w:fldChar w:fldCharType="separate"/>
      </w:r>
      <w:r>
        <w:rPr>
          <w:rFonts w:hint="default"/>
        </w:rPr>
        <w:t xml:space="preserve">4.1 </w:t>
      </w:r>
      <w:r>
        <w:t>优化目标与原则</w:t>
      </w:r>
      <w:r>
        <w:tab/>
      </w:r>
      <w:r>
        <w:fldChar w:fldCharType="begin"/>
      </w:r>
      <w:r>
        <w:instrText xml:space="preserve"> PAGEREF _Toc1155515042 \h </w:instrText>
      </w:r>
      <w:r>
        <w:fldChar w:fldCharType="separate"/>
      </w:r>
      <w:r>
        <w:t>7</w:t>
      </w:r>
      <w:r>
        <w:fldChar w:fldCharType="end"/>
      </w:r>
      <w:r>
        <w:fldChar w:fldCharType="end"/>
      </w:r>
    </w:p>
    <w:p w14:paraId="74442B3D">
      <w:pPr>
        <w:pStyle w:val="17"/>
        <w:tabs>
          <w:tab w:val="right" w:leader="dot" w:pos="8306"/>
        </w:tabs>
      </w:pPr>
      <w:r>
        <w:fldChar w:fldCharType="begin"/>
      </w:r>
      <w:r>
        <w:instrText xml:space="preserve"> HYPERLINK \l _Toc1046691073 </w:instrText>
      </w:r>
      <w:r>
        <w:fldChar w:fldCharType="separate"/>
      </w:r>
      <w:r>
        <w:rPr>
          <w:rFonts w:hint="default"/>
        </w:rPr>
        <w:t xml:space="preserve">4.2 </w:t>
      </w:r>
      <w:r>
        <w:t>基于BPR的转运流程重构</w:t>
      </w:r>
      <w:r>
        <w:tab/>
      </w:r>
      <w:r>
        <w:fldChar w:fldCharType="begin"/>
      </w:r>
      <w:r>
        <w:instrText xml:space="preserve"> PAGEREF _Toc1046691073 \h </w:instrText>
      </w:r>
      <w:r>
        <w:fldChar w:fldCharType="separate"/>
      </w:r>
      <w:r>
        <w:t>7</w:t>
      </w:r>
      <w:r>
        <w:fldChar w:fldCharType="end"/>
      </w:r>
      <w:r>
        <w:fldChar w:fldCharType="end"/>
      </w:r>
    </w:p>
    <w:p w14:paraId="2CE77E03">
      <w:pPr>
        <w:pStyle w:val="12"/>
        <w:tabs>
          <w:tab w:val="right" w:leader="dot" w:pos="8306"/>
        </w:tabs>
      </w:pPr>
      <w:r>
        <w:fldChar w:fldCharType="begin"/>
      </w:r>
      <w:r>
        <w:instrText xml:space="preserve"> HYPERLINK \l _Toc1698311334 </w:instrText>
      </w:r>
      <w:r>
        <w:fldChar w:fldCharType="separate"/>
      </w:r>
      <w:r>
        <w:rPr>
          <w:rFonts w:hint="default"/>
        </w:rPr>
        <w:t xml:space="preserve">4.2.1 </w:t>
      </w:r>
      <w:r>
        <w:t>从“推式”到“拉式”的动态调度</w:t>
      </w:r>
      <w:r>
        <w:tab/>
      </w:r>
      <w:r>
        <w:fldChar w:fldCharType="begin"/>
      </w:r>
      <w:r>
        <w:instrText xml:space="preserve"> PAGEREF _Toc1698311334 \h </w:instrText>
      </w:r>
      <w:r>
        <w:fldChar w:fldCharType="separate"/>
      </w:r>
      <w:r>
        <w:t>7</w:t>
      </w:r>
      <w:r>
        <w:fldChar w:fldCharType="end"/>
      </w:r>
      <w:r>
        <w:fldChar w:fldCharType="end"/>
      </w:r>
    </w:p>
    <w:p w14:paraId="67A941D4">
      <w:pPr>
        <w:pStyle w:val="12"/>
        <w:tabs>
          <w:tab w:val="right" w:leader="dot" w:pos="8306"/>
        </w:tabs>
      </w:pPr>
      <w:r>
        <w:fldChar w:fldCharType="begin"/>
      </w:r>
      <w:r>
        <w:instrText xml:space="preserve"> HYPERLINK \l _Toc1313438261 </w:instrText>
      </w:r>
      <w:r>
        <w:fldChar w:fldCharType="separate"/>
      </w:r>
      <w:r>
        <w:rPr>
          <w:rFonts w:hint="default"/>
        </w:rPr>
        <w:t xml:space="preserve">4.2.2 </w:t>
      </w:r>
      <w:r>
        <w:t>VRP逻辑下的“巡回取货”模式</w:t>
      </w:r>
      <w:r>
        <w:tab/>
      </w:r>
      <w:r>
        <w:fldChar w:fldCharType="begin"/>
      </w:r>
      <w:r>
        <w:instrText xml:space="preserve"> PAGEREF _Toc1313438261 \h </w:instrText>
      </w:r>
      <w:r>
        <w:fldChar w:fldCharType="separate"/>
      </w:r>
      <w:r>
        <w:t>7</w:t>
      </w:r>
      <w:r>
        <w:fldChar w:fldCharType="end"/>
      </w:r>
      <w:r>
        <w:fldChar w:fldCharType="end"/>
      </w:r>
    </w:p>
    <w:p w14:paraId="6AB45062">
      <w:pPr>
        <w:pStyle w:val="17"/>
        <w:tabs>
          <w:tab w:val="right" w:leader="dot" w:pos="8306"/>
        </w:tabs>
      </w:pPr>
      <w:r>
        <w:fldChar w:fldCharType="begin"/>
      </w:r>
      <w:r>
        <w:instrText xml:space="preserve"> HYPERLINK \l _Toc972445114 </w:instrText>
      </w:r>
      <w:r>
        <w:fldChar w:fldCharType="separate"/>
      </w:r>
      <w:r>
        <w:rPr>
          <w:rFonts w:hint="default"/>
        </w:rPr>
        <w:t xml:space="preserve">4.3 </w:t>
      </w:r>
      <w:r>
        <w:t>基于数据驱动的成本控制体系</w:t>
      </w:r>
      <w:r>
        <w:tab/>
      </w:r>
      <w:r>
        <w:fldChar w:fldCharType="begin"/>
      </w:r>
      <w:r>
        <w:instrText xml:space="preserve"> PAGEREF _Toc972445114 \h </w:instrText>
      </w:r>
      <w:r>
        <w:fldChar w:fldCharType="separate"/>
      </w:r>
      <w:r>
        <w:t>7</w:t>
      </w:r>
      <w:r>
        <w:fldChar w:fldCharType="end"/>
      </w:r>
      <w:r>
        <w:fldChar w:fldCharType="end"/>
      </w:r>
    </w:p>
    <w:p w14:paraId="185D4565">
      <w:pPr>
        <w:pStyle w:val="12"/>
        <w:tabs>
          <w:tab w:val="right" w:leader="dot" w:pos="8306"/>
        </w:tabs>
      </w:pPr>
      <w:r>
        <w:fldChar w:fldCharType="begin"/>
      </w:r>
      <w:r>
        <w:instrText xml:space="preserve"> HYPERLINK \l _Toc1534477328 </w:instrText>
      </w:r>
      <w:r>
        <w:fldChar w:fldCharType="separate"/>
      </w:r>
      <w:r>
        <w:rPr>
          <w:rFonts w:hint="default"/>
        </w:rPr>
        <w:t xml:space="preserve">4.3.1 </w:t>
      </w:r>
      <w:r>
        <w:t>三元成本监控模型的构建逻辑与计算方法</w:t>
      </w:r>
      <w:r>
        <w:tab/>
      </w:r>
      <w:r>
        <w:fldChar w:fldCharType="begin"/>
      </w:r>
      <w:r>
        <w:instrText xml:space="preserve"> PAGEREF _Toc1534477328 \h </w:instrText>
      </w:r>
      <w:r>
        <w:fldChar w:fldCharType="separate"/>
      </w:r>
      <w:r>
        <w:t>7</w:t>
      </w:r>
      <w:r>
        <w:fldChar w:fldCharType="end"/>
      </w:r>
      <w:r>
        <w:fldChar w:fldCharType="end"/>
      </w:r>
    </w:p>
    <w:p w14:paraId="77CF223E">
      <w:pPr>
        <w:pStyle w:val="12"/>
        <w:tabs>
          <w:tab w:val="right" w:leader="dot" w:pos="8306"/>
        </w:tabs>
      </w:pPr>
      <w:r>
        <w:fldChar w:fldCharType="begin"/>
      </w:r>
      <w:r>
        <w:instrText xml:space="preserve"> HYPERLINK \l _Toc829334873 </w:instrText>
      </w:r>
      <w:r>
        <w:fldChar w:fldCharType="separate"/>
      </w:r>
      <w:r>
        <w:rPr>
          <w:rFonts w:hint="default"/>
        </w:rPr>
        <w:t xml:space="preserve">4.3.2 </w:t>
      </w:r>
      <w:r>
        <w:t>异常轨迹闭环管理</w:t>
      </w:r>
      <w:r>
        <w:tab/>
      </w:r>
      <w:r>
        <w:fldChar w:fldCharType="begin"/>
      </w:r>
      <w:r>
        <w:instrText xml:space="preserve"> PAGEREF _Toc829334873 \h </w:instrText>
      </w:r>
      <w:r>
        <w:fldChar w:fldCharType="separate"/>
      </w:r>
      <w:r>
        <w:t>7</w:t>
      </w:r>
      <w:r>
        <w:fldChar w:fldCharType="end"/>
      </w:r>
      <w:r>
        <w:fldChar w:fldCharType="end"/>
      </w:r>
    </w:p>
    <w:p w14:paraId="3AB5F1E3">
      <w:pPr>
        <w:pStyle w:val="17"/>
        <w:tabs>
          <w:tab w:val="right" w:leader="dot" w:pos="8306"/>
        </w:tabs>
      </w:pPr>
      <w:r>
        <w:fldChar w:fldCharType="begin"/>
      </w:r>
      <w:r>
        <w:instrText xml:space="preserve"> HYPERLINK \l _Toc1462341481 </w:instrText>
      </w:r>
      <w:r>
        <w:fldChar w:fldCharType="separate"/>
      </w:r>
      <w:r>
        <w:rPr>
          <w:rFonts w:hint="default"/>
        </w:rPr>
        <w:t xml:space="preserve">4.4 </w:t>
      </w:r>
      <w:r>
        <w:t>智慧化绩效管理体系优化</w:t>
      </w:r>
      <w:r>
        <w:tab/>
      </w:r>
      <w:r>
        <w:fldChar w:fldCharType="begin"/>
      </w:r>
      <w:r>
        <w:instrText xml:space="preserve"> PAGEREF _Toc1462341481 \h </w:instrText>
      </w:r>
      <w:r>
        <w:fldChar w:fldCharType="separate"/>
      </w:r>
      <w:r>
        <w:t>8</w:t>
      </w:r>
      <w:r>
        <w:fldChar w:fldCharType="end"/>
      </w:r>
      <w:r>
        <w:fldChar w:fldCharType="end"/>
      </w:r>
    </w:p>
    <w:p w14:paraId="6379E66F">
      <w:pPr>
        <w:pStyle w:val="12"/>
        <w:tabs>
          <w:tab w:val="right" w:leader="dot" w:pos="8306"/>
        </w:tabs>
      </w:pPr>
      <w:r>
        <w:fldChar w:fldCharType="begin"/>
      </w:r>
      <w:r>
        <w:instrText xml:space="preserve"> HYPERLINK \l _Toc1770414899 </w:instrText>
      </w:r>
      <w:r>
        <w:fldChar w:fldCharType="separate"/>
      </w:r>
      <w:r>
        <w:rPr>
          <w:rFonts w:hint="default"/>
        </w:rPr>
        <w:t xml:space="preserve">4.4.1 </w:t>
      </w:r>
      <w:r>
        <w:t>KPI指标重构</w:t>
      </w:r>
      <w:r>
        <w:tab/>
      </w:r>
      <w:r>
        <w:fldChar w:fldCharType="begin"/>
      </w:r>
      <w:r>
        <w:instrText xml:space="preserve"> PAGEREF _Toc1770414899 \h </w:instrText>
      </w:r>
      <w:r>
        <w:fldChar w:fldCharType="separate"/>
      </w:r>
      <w:r>
        <w:t>8</w:t>
      </w:r>
      <w:r>
        <w:fldChar w:fldCharType="end"/>
      </w:r>
      <w:r>
        <w:fldChar w:fldCharType="end"/>
      </w:r>
    </w:p>
    <w:p w14:paraId="7382E9E5">
      <w:pPr>
        <w:pStyle w:val="12"/>
        <w:tabs>
          <w:tab w:val="right" w:leader="dot" w:pos="8306"/>
        </w:tabs>
      </w:pPr>
      <w:r>
        <w:fldChar w:fldCharType="begin"/>
      </w:r>
      <w:r>
        <w:instrText xml:space="preserve"> HYPERLINK \l _Toc1977278308 </w:instrText>
      </w:r>
      <w:r>
        <w:fldChar w:fldCharType="separate"/>
      </w:r>
      <w:r>
        <w:rPr>
          <w:rFonts w:hint="default"/>
        </w:rPr>
        <w:t xml:space="preserve">4.4.2 </w:t>
      </w:r>
      <w:r>
        <w:t>数据透明的“赛马机制”</w:t>
      </w:r>
      <w:r>
        <w:tab/>
      </w:r>
      <w:r>
        <w:fldChar w:fldCharType="begin"/>
      </w:r>
      <w:r>
        <w:instrText xml:space="preserve"> PAGEREF _Toc1977278308 \h </w:instrText>
      </w:r>
      <w:r>
        <w:fldChar w:fldCharType="separate"/>
      </w:r>
      <w:r>
        <w:t>8</w:t>
      </w:r>
      <w:r>
        <w:fldChar w:fldCharType="end"/>
      </w:r>
      <w:r>
        <w:fldChar w:fldCharType="end"/>
      </w:r>
    </w:p>
    <w:p w14:paraId="205FEC76">
      <w:pPr>
        <w:pStyle w:val="17"/>
        <w:tabs>
          <w:tab w:val="right" w:leader="dot" w:pos="8306"/>
        </w:tabs>
      </w:pPr>
      <w:r>
        <w:fldChar w:fldCharType="begin"/>
      </w:r>
      <w:r>
        <w:instrText xml:space="preserve"> HYPERLINK \l _Toc1954568878 </w:instrText>
      </w:r>
      <w:r>
        <w:fldChar w:fldCharType="separate"/>
      </w:r>
      <w:r>
        <w:rPr>
          <w:rFonts w:hint="default"/>
        </w:rPr>
        <w:t xml:space="preserve">4.5 </w:t>
      </w:r>
      <w:r>
        <w:t>应急响应与弹性管理</w:t>
      </w:r>
      <w:r>
        <w:tab/>
      </w:r>
      <w:r>
        <w:fldChar w:fldCharType="begin"/>
      </w:r>
      <w:r>
        <w:instrText xml:space="preserve"> PAGEREF _Toc1954568878 \h </w:instrText>
      </w:r>
      <w:r>
        <w:fldChar w:fldCharType="separate"/>
      </w:r>
      <w:r>
        <w:t>8</w:t>
      </w:r>
      <w:r>
        <w:fldChar w:fldCharType="end"/>
      </w:r>
      <w:r>
        <w:fldChar w:fldCharType="end"/>
      </w:r>
    </w:p>
    <w:p w14:paraId="710590D5">
      <w:pPr>
        <w:pStyle w:val="15"/>
        <w:tabs>
          <w:tab w:val="right" w:leader="dot" w:pos="8306"/>
        </w:tabs>
      </w:pPr>
      <w:r>
        <w:fldChar w:fldCharType="begin"/>
      </w:r>
      <w:r>
        <w:instrText xml:space="preserve"> HYPERLINK \l _Toc381784387 </w:instrText>
      </w:r>
      <w:r>
        <w:fldChar w:fldCharType="separate"/>
      </w:r>
      <w:r>
        <w:rPr>
          <w:rFonts w:hint="eastAsia"/>
        </w:rPr>
        <w:t xml:space="preserve">第五章 </w:t>
      </w:r>
      <w:r>
        <w:t>优化方案的实施保障与效果预估</w:t>
      </w:r>
      <w:r>
        <w:tab/>
      </w:r>
      <w:r>
        <w:fldChar w:fldCharType="begin"/>
      </w:r>
      <w:r>
        <w:instrText xml:space="preserve"> PAGEREF _Toc381784387 \h </w:instrText>
      </w:r>
      <w:r>
        <w:fldChar w:fldCharType="separate"/>
      </w:r>
      <w:r>
        <w:t>8</w:t>
      </w:r>
      <w:r>
        <w:fldChar w:fldCharType="end"/>
      </w:r>
      <w:r>
        <w:fldChar w:fldCharType="end"/>
      </w:r>
    </w:p>
    <w:p w14:paraId="1A04051A">
      <w:pPr>
        <w:pStyle w:val="17"/>
        <w:tabs>
          <w:tab w:val="right" w:leader="dot" w:pos="8306"/>
        </w:tabs>
      </w:pPr>
      <w:r>
        <w:fldChar w:fldCharType="begin"/>
      </w:r>
      <w:r>
        <w:instrText xml:space="preserve"> HYPERLINK \l _Toc2116538720 </w:instrText>
      </w:r>
      <w:r>
        <w:fldChar w:fldCharType="separate"/>
      </w:r>
      <w:r>
        <w:rPr>
          <w:rFonts w:hint="default"/>
        </w:rPr>
        <w:t xml:space="preserve">5.1 </w:t>
      </w:r>
      <w:r>
        <w:t>实施保障</w:t>
      </w:r>
      <w:r>
        <w:tab/>
      </w:r>
      <w:r>
        <w:fldChar w:fldCharType="begin"/>
      </w:r>
      <w:r>
        <w:instrText xml:space="preserve"> PAGEREF _Toc2116538720 \h </w:instrText>
      </w:r>
      <w:r>
        <w:fldChar w:fldCharType="separate"/>
      </w:r>
      <w:r>
        <w:t>8</w:t>
      </w:r>
      <w:r>
        <w:fldChar w:fldCharType="end"/>
      </w:r>
      <w:r>
        <w:fldChar w:fldCharType="end"/>
      </w:r>
    </w:p>
    <w:p w14:paraId="6EFF8F16">
      <w:pPr>
        <w:pStyle w:val="17"/>
        <w:tabs>
          <w:tab w:val="right" w:leader="dot" w:pos="8306"/>
        </w:tabs>
      </w:pPr>
      <w:r>
        <w:fldChar w:fldCharType="begin"/>
      </w:r>
      <w:r>
        <w:instrText xml:space="preserve"> HYPERLINK \l _Toc1747138132 </w:instrText>
      </w:r>
      <w:r>
        <w:fldChar w:fldCharType="separate"/>
      </w:r>
      <w:r>
        <w:rPr>
          <w:rFonts w:hint="default"/>
        </w:rPr>
        <w:t xml:space="preserve">5.2 </w:t>
      </w:r>
      <w:r>
        <w:t>效果评估：基于“历史基准—模拟运行”的比较分析</w:t>
      </w:r>
      <w:r>
        <w:tab/>
      </w:r>
      <w:r>
        <w:fldChar w:fldCharType="begin"/>
      </w:r>
      <w:r>
        <w:instrText xml:space="preserve"> PAGEREF _Toc1747138132 \h </w:instrText>
      </w:r>
      <w:r>
        <w:fldChar w:fldCharType="separate"/>
      </w:r>
      <w:r>
        <w:t>8</w:t>
      </w:r>
      <w:r>
        <w:fldChar w:fldCharType="end"/>
      </w:r>
      <w:r>
        <w:fldChar w:fldCharType="end"/>
      </w:r>
    </w:p>
    <w:p w14:paraId="267835F9">
      <w:pPr>
        <w:pStyle w:val="17"/>
        <w:tabs>
          <w:tab w:val="right" w:leader="dot" w:pos="8306"/>
        </w:tabs>
      </w:pPr>
      <w:r>
        <w:fldChar w:fldCharType="begin"/>
      </w:r>
      <w:r>
        <w:instrText xml:space="preserve"> HYPERLINK \l _Toc1606679093 </w:instrText>
      </w:r>
      <w:r>
        <w:fldChar w:fldCharType="separate"/>
      </w:r>
      <w:r>
        <w:rPr>
          <w:rFonts w:hint="default"/>
        </w:rPr>
        <w:t xml:space="preserve">5.3 </w:t>
      </w:r>
      <w:r>
        <w:t>社会与环境效益</w:t>
      </w:r>
      <w:r>
        <w:tab/>
      </w:r>
      <w:r>
        <w:fldChar w:fldCharType="begin"/>
      </w:r>
      <w:r>
        <w:instrText xml:space="preserve"> PAGEREF _Toc1606679093 \h </w:instrText>
      </w:r>
      <w:r>
        <w:fldChar w:fldCharType="separate"/>
      </w:r>
      <w:r>
        <w:t>10</w:t>
      </w:r>
      <w:r>
        <w:fldChar w:fldCharType="end"/>
      </w:r>
      <w:r>
        <w:fldChar w:fldCharType="end"/>
      </w:r>
    </w:p>
    <w:p w14:paraId="405FAD90">
      <w:pPr>
        <w:pStyle w:val="15"/>
        <w:tabs>
          <w:tab w:val="right" w:leader="dot" w:pos="8306"/>
        </w:tabs>
      </w:pPr>
      <w:r>
        <w:fldChar w:fldCharType="begin"/>
      </w:r>
      <w:r>
        <w:instrText xml:space="preserve"> HYPERLINK \l _Toc996138673 </w:instrText>
      </w:r>
      <w:r>
        <w:fldChar w:fldCharType="separate"/>
      </w:r>
      <w:r>
        <w:rPr>
          <w:rFonts w:hint="eastAsia"/>
        </w:rPr>
        <w:t xml:space="preserve">第六章 </w:t>
      </w:r>
      <w:r>
        <w:t>结论与展望</w:t>
      </w:r>
      <w:r>
        <w:tab/>
      </w:r>
      <w:r>
        <w:fldChar w:fldCharType="begin"/>
      </w:r>
      <w:r>
        <w:instrText xml:space="preserve"> PAGEREF _Toc996138673 \h </w:instrText>
      </w:r>
      <w:r>
        <w:fldChar w:fldCharType="separate"/>
      </w:r>
      <w:r>
        <w:t>10</w:t>
      </w:r>
      <w:r>
        <w:fldChar w:fldCharType="end"/>
      </w:r>
      <w:r>
        <w:fldChar w:fldCharType="end"/>
      </w:r>
    </w:p>
    <w:p w14:paraId="13EE209F">
      <w:pPr>
        <w:pStyle w:val="17"/>
        <w:tabs>
          <w:tab w:val="right" w:leader="dot" w:pos="8306"/>
        </w:tabs>
      </w:pPr>
      <w:r>
        <w:fldChar w:fldCharType="begin"/>
      </w:r>
      <w:r>
        <w:instrText xml:space="preserve"> HYPERLINK \l _Toc320165099 </w:instrText>
      </w:r>
      <w:r>
        <w:fldChar w:fldCharType="separate"/>
      </w:r>
      <w:r>
        <w:rPr>
          <w:rFonts w:hint="default"/>
        </w:rPr>
        <w:t xml:space="preserve">6.1 </w:t>
      </w:r>
      <w:r>
        <w:t>研究结论</w:t>
      </w:r>
      <w:r>
        <w:tab/>
      </w:r>
      <w:r>
        <w:fldChar w:fldCharType="begin"/>
      </w:r>
      <w:r>
        <w:instrText xml:space="preserve"> PAGEREF _Toc320165099 \h </w:instrText>
      </w:r>
      <w:r>
        <w:fldChar w:fldCharType="separate"/>
      </w:r>
      <w:r>
        <w:t>10</w:t>
      </w:r>
      <w:r>
        <w:fldChar w:fldCharType="end"/>
      </w:r>
      <w:r>
        <w:fldChar w:fldCharType="end"/>
      </w:r>
    </w:p>
    <w:p w14:paraId="62B15804">
      <w:pPr>
        <w:pStyle w:val="17"/>
        <w:tabs>
          <w:tab w:val="right" w:leader="dot" w:pos="8306"/>
        </w:tabs>
      </w:pPr>
      <w:r>
        <w:fldChar w:fldCharType="begin"/>
      </w:r>
      <w:r>
        <w:instrText xml:space="preserve"> HYPERLINK \l _Toc1568283158 </w:instrText>
      </w:r>
      <w:r>
        <w:fldChar w:fldCharType="separate"/>
      </w:r>
      <w:r>
        <w:rPr>
          <w:rFonts w:hint="default"/>
        </w:rPr>
        <w:t xml:space="preserve">6.2 </w:t>
      </w:r>
      <w:r>
        <w:t>研究局限性</w:t>
      </w:r>
      <w:r>
        <w:tab/>
      </w:r>
      <w:r>
        <w:fldChar w:fldCharType="begin"/>
      </w:r>
      <w:r>
        <w:instrText xml:space="preserve"> PAGEREF _Toc1568283158 \h </w:instrText>
      </w:r>
      <w:r>
        <w:fldChar w:fldCharType="separate"/>
      </w:r>
      <w:r>
        <w:t>10</w:t>
      </w:r>
      <w:r>
        <w:fldChar w:fldCharType="end"/>
      </w:r>
      <w:r>
        <w:fldChar w:fldCharType="end"/>
      </w:r>
    </w:p>
    <w:p w14:paraId="32BE5400">
      <w:pPr>
        <w:pStyle w:val="17"/>
        <w:tabs>
          <w:tab w:val="right" w:leader="dot" w:pos="8306"/>
        </w:tabs>
      </w:pPr>
      <w:r>
        <w:fldChar w:fldCharType="begin"/>
      </w:r>
      <w:r>
        <w:instrText xml:space="preserve"> HYPERLINK \l _Toc2068236875 </w:instrText>
      </w:r>
      <w:r>
        <w:fldChar w:fldCharType="separate"/>
      </w:r>
      <w:r>
        <w:rPr>
          <w:rFonts w:hint="default"/>
        </w:rPr>
        <w:t xml:space="preserve">6.3 </w:t>
      </w:r>
      <w:r>
        <w:t>未来展望</w:t>
      </w:r>
      <w:r>
        <w:tab/>
      </w:r>
      <w:r>
        <w:fldChar w:fldCharType="begin"/>
      </w:r>
      <w:r>
        <w:instrText xml:space="preserve"> PAGEREF _Toc2068236875 \h </w:instrText>
      </w:r>
      <w:r>
        <w:fldChar w:fldCharType="separate"/>
      </w:r>
      <w:r>
        <w:t>10</w:t>
      </w:r>
      <w:r>
        <w:fldChar w:fldCharType="end"/>
      </w:r>
      <w:r>
        <w:fldChar w:fldCharType="end"/>
      </w:r>
    </w:p>
    <w:p w14:paraId="051DD005">
      <w:pPr>
        <w:pStyle w:val="15"/>
        <w:tabs>
          <w:tab w:val="right" w:leader="dot" w:pos="8306"/>
        </w:tabs>
      </w:pPr>
      <w:r>
        <w:fldChar w:fldCharType="begin"/>
      </w:r>
      <w:r>
        <w:instrText xml:space="preserve"> HYPERLINK \l _Toc1686847783 </w:instrText>
      </w:r>
      <w:r>
        <w:fldChar w:fldCharType="separate"/>
      </w:r>
      <w:r>
        <w:rPr>
          <w:rFonts w:hint="eastAsia"/>
        </w:rPr>
        <w:t xml:space="preserve">第七章 </w:t>
      </w:r>
      <w:r>
        <w:t>案例启示与推广价值</w:t>
      </w:r>
      <w:r>
        <w:tab/>
      </w:r>
      <w:r>
        <w:fldChar w:fldCharType="begin"/>
      </w:r>
      <w:r>
        <w:instrText xml:space="preserve"> PAGEREF _Toc1686847783 \h </w:instrText>
      </w:r>
      <w:r>
        <w:fldChar w:fldCharType="separate"/>
      </w:r>
      <w:r>
        <w:t>11</w:t>
      </w:r>
      <w:r>
        <w:fldChar w:fldCharType="end"/>
      </w:r>
      <w:r>
        <w:fldChar w:fldCharType="end"/>
      </w:r>
    </w:p>
    <w:p w14:paraId="0EBA3151">
      <w:pPr>
        <w:pStyle w:val="17"/>
        <w:tabs>
          <w:tab w:val="right" w:leader="dot" w:pos="8306"/>
        </w:tabs>
      </w:pPr>
      <w:r>
        <w:fldChar w:fldCharType="begin"/>
      </w:r>
      <w:r>
        <w:instrText xml:space="preserve"> HYPERLINK \l _Toc1919064834 </w:instrText>
      </w:r>
      <w:r>
        <w:fldChar w:fldCharType="separate"/>
      </w:r>
      <w:r>
        <w:rPr>
          <w:rFonts w:hint="default"/>
        </w:rPr>
        <w:t xml:space="preserve">7.1 </w:t>
      </w:r>
      <w:r>
        <w:t>“辉达模式”的理论抽象：PPE效率释放模型</w:t>
      </w:r>
      <w:r>
        <w:tab/>
      </w:r>
      <w:r>
        <w:fldChar w:fldCharType="begin"/>
      </w:r>
      <w:r>
        <w:instrText xml:space="preserve"> PAGEREF _Toc1919064834 \h </w:instrText>
      </w:r>
      <w:r>
        <w:fldChar w:fldCharType="separate"/>
      </w:r>
      <w:r>
        <w:t>11</w:t>
      </w:r>
      <w:r>
        <w:fldChar w:fldCharType="end"/>
      </w:r>
      <w:r>
        <w:fldChar w:fldCharType="end"/>
      </w:r>
    </w:p>
    <w:p w14:paraId="3A9F0073">
      <w:pPr>
        <w:pStyle w:val="17"/>
        <w:tabs>
          <w:tab w:val="right" w:leader="dot" w:pos="8306"/>
        </w:tabs>
      </w:pPr>
      <w:r>
        <w:fldChar w:fldCharType="begin"/>
      </w:r>
      <w:r>
        <w:instrText xml:space="preserve"> HYPERLINK \l _Toc665770745 </w:instrText>
      </w:r>
      <w:r>
        <w:fldChar w:fldCharType="separate"/>
      </w:r>
      <w:r>
        <w:rPr>
          <w:rFonts w:hint="default"/>
        </w:rPr>
        <w:t xml:space="preserve">7.2 </w:t>
      </w:r>
      <w:r>
        <w:t>推广的适用条件与边界</w:t>
      </w:r>
      <w:r>
        <w:tab/>
      </w:r>
      <w:r>
        <w:fldChar w:fldCharType="begin"/>
      </w:r>
      <w:r>
        <w:instrText xml:space="preserve"> PAGEREF _Toc665770745 \h </w:instrText>
      </w:r>
      <w:r>
        <w:fldChar w:fldCharType="separate"/>
      </w:r>
      <w:r>
        <w:t>11</w:t>
      </w:r>
      <w:r>
        <w:fldChar w:fldCharType="end"/>
      </w:r>
      <w:r>
        <w:fldChar w:fldCharType="end"/>
      </w:r>
    </w:p>
    <w:p w14:paraId="3D21F05D">
      <w:pPr>
        <w:pStyle w:val="17"/>
        <w:tabs>
          <w:tab w:val="right" w:leader="dot" w:pos="8306"/>
        </w:tabs>
      </w:pPr>
      <w:r>
        <w:fldChar w:fldCharType="begin"/>
      </w:r>
      <w:r>
        <w:instrText xml:space="preserve"> HYPERLINK \l _Toc1219110345 </w:instrText>
      </w:r>
      <w:r>
        <w:fldChar w:fldCharType="separate"/>
      </w:r>
      <w:r>
        <w:rPr>
          <w:rFonts w:hint="default"/>
        </w:rPr>
        <w:t xml:space="preserve">7.3 </w:t>
      </w:r>
      <w:r>
        <w:t>对行业监管的政策启示</w:t>
      </w:r>
      <w:r>
        <w:tab/>
      </w:r>
      <w:r>
        <w:fldChar w:fldCharType="begin"/>
      </w:r>
      <w:r>
        <w:instrText xml:space="preserve"> PAGEREF _Toc1219110345 \h </w:instrText>
      </w:r>
      <w:r>
        <w:fldChar w:fldCharType="separate"/>
      </w:r>
      <w:r>
        <w:t>11</w:t>
      </w:r>
      <w:r>
        <w:fldChar w:fldCharType="end"/>
      </w:r>
      <w:r>
        <w:fldChar w:fldCharType="end"/>
      </w:r>
    </w:p>
    <w:p w14:paraId="3DA309E5">
      <w:pPr>
        <w:pStyle w:val="15"/>
        <w:tabs>
          <w:tab w:val="right" w:leader="dot" w:pos="8306"/>
        </w:tabs>
      </w:pPr>
      <w:r>
        <w:fldChar w:fldCharType="begin"/>
      </w:r>
      <w:r>
        <w:instrText xml:space="preserve"> HYPERLINK \l _Toc446092388 </w:instrText>
      </w:r>
      <w:r>
        <w:fldChar w:fldCharType="separate"/>
      </w:r>
      <w:r>
        <w:t>参考文献</w:t>
      </w:r>
      <w:r>
        <w:tab/>
      </w:r>
      <w:r>
        <w:fldChar w:fldCharType="begin"/>
      </w:r>
      <w:r>
        <w:instrText xml:space="preserve"> PAGEREF _Toc446092388 \h </w:instrText>
      </w:r>
      <w:r>
        <w:fldChar w:fldCharType="separate"/>
      </w:r>
      <w:r>
        <w:t>12</w:t>
      </w:r>
      <w:r>
        <w:fldChar w:fldCharType="end"/>
      </w:r>
      <w:r>
        <w:fldChar w:fldCharType="end"/>
      </w:r>
    </w:p>
    <w:p w14:paraId="4A540577">
      <w:pPr>
        <w:pStyle w:val="15"/>
        <w:tabs>
          <w:tab w:val="right" w:leader="dot" w:pos="8306"/>
        </w:tabs>
      </w:pPr>
      <w:r>
        <w:fldChar w:fldCharType="begin"/>
      </w:r>
      <w:r>
        <w:instrText xml:space="preserve"> HYPERLINK \l _Toc609353439 </w:instrText>
      </w:r>
      <w:r>
        <w:fldChar w:fldCharType="separate"/>
      </w:r>
      <w:r>
        <w:t>致谢</w:t>
      </w:r>
      <w:r>
        <w:tab/>
      </w:r>
      <w:r>
        <w:fldChar w:fldCharType="begin"/>
      </w:r>
      <w:r>
        <w:instrText xml:space="preserve"> PAGEREF _Toc609353439 \h </w:instrText>
      </w:r>
      <w:r>
        <w:fldChar w:fldCharType="separate"/>
      </w:r>
      <w:r>
        <w:t>14</w:t>
      </w:r>
      <w:r>
        <w:fldChar w:fldCharType="end"/>
      </w:r>
      <w:r>
        <w:fldChar w:fldCharType="end"/>
      </w:r>
    </w:p>
    <w:p w14:paraId="2195801E">
      <w:p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AndChars" w:linePitch="332" w:charSpace="879"/>
        </w:sectPr>
      </w:pPr>
      <w:r>
        <w:fldChar w:fldCharType="end"/>
      </w:r>
    </w:p>
    <w:p w14:paraId="25FB748E">
      <w:pPr>
        <w:pStyle w:val="2"/>
        <w:keepNext/>
        <w:widowControl/>
        <w:numPr>
          <w:ilvl w:val="0"/>
          <w:numId w:val="1"/>
        </w:numPr>
        <w:ind w:left="0" w:leftChars="0" w:firstLine="0" w:firstLineChars="0"/>
      </w:pPr>
      <w:bookmarkStart w:id="0" w:name="_Toc2134685932"/>
      <w:bookmarkStart w:id="1" w:name="_Toc985715487"/>
      <w:r>
        <w:t>绪论</w:t>
      </w:r>
      <w:bookmarkEnd w:id="0"/>
      <w:bookmarkEnd w:id="1"/>
    </w:p>
    <w:p w14:paraId="1432EB7D">
      <w:pPr>
        <w:pStyle w:val="3"/>
        <w:keepNext/>
        <w:widowControl/>
        <w:numPr>
          <w:ilvl w:val="0"/>
          <w:numId w:val="2"/>
        </w:numPr>
        <w:ind w:left="0" w:leftChars="0" w:firstLine="0" w:firstLineChars="0"/>
      </w:pPr>
      <w:bookmarkStart w:id="2" w:name="_Toc1231337051"/>
      <w:bookmarkStart w:id="3" w:name="_Toc1804652342"/>
      <w:r>
        <w:t>研究背景</w:t>
      </w:r>
      <w:bookmarkEnd w:id="2"/>
      <w:bookmarkEnd w:id="3"/>
    </w:p>
    <w:p w14:paraId="37449833">
      <w:pPr>
        <w:pStyle w:val="4"/>
        <w:keepNext/>
        <w:numPr>
          <w:ilvl w:val="0"/>
          <w:numId w:val="3"/>
        </w:numPr>
        <w:ind w:left="0" w:leftChars="0" w:firstLine="0" w:firstLineChars="0"/>
      </w:pPr>
      <w:bookmarkStart w:id="4" w:name="_Toc1880365413"/>
      <w:bookmarkStart w:id="5" w:name="_Toc1929393665"/>
      <w:r>
        <w:t>宏观背景：数字时代的环卫变革与“双碳”压力</w:t>
      </w:r>
      <w:bookmarkEnd w:id="4"/>
      <w:bookmarkEnd w:id="5"/>
    </w:p>
    <w:p w14:paraId="5F716CAB">
      <w:pPr>
        <w:pStyle w:val="11"/>
      </w:pPr>
      <w:r>
        <w:t>近年来，随着“数字中国”战略不断推进，信息技术在城市治理中的应用逐步深化。环境卫生管理作为城市基础服务的重要组成部分，其运行效率直接影响居民生活质量和城市可持续发展水平。</w:t>
      </w:r>
    </w:p>
    <w:p w14:paraId="0EDA3AE7">
      <w:pPr>
        <w:pStyle w:val="11"/>
        <w:ind w:firstLine="488" w:firstLineChars="200"/>
        <w:rPr>
          <w:rFonts w:hint="eastAsia"/>
        </w:rPr>
      </w:pPr>
    </w:p>
    <w:p w14:paraId="24F9D977">
      <w:pPr>
        <w:pStyle w:val="11"/>
      </w:pPr>
      <w:r>
        <w:t>在城镇化进入新阶段后，城市发展逐渐由规模扩张转向结构优化，生活垃圾产生量持续保持较高水平。同时，垃圾分类政策的实施，使得收运过程更加复杂，对调度能力提出了更高要求。然而，当前部分环卫企业仍主要依赖人工经验进行管理，普遍存在标准不统一、过程难以量化以及资源利用率偏低等问题。这种传统模式已难以适应当前精细化管理需求。</w:t>
      </w:r>
    </w:p>
    <w:p w14:paraId="1D5A7085">
      <w:pPr>
        <w:pStyle w:val="11"/>
        <w:ind w:firstLine="488" w:firstLineChars="200"/>
        <w:rPr>
          <w:rFonts w:hint="eastAsia"/>
        </w:rPr>
      </w:pPr>
    </w:p>
    <w:p w14:paraId="7FD15EDB">
      <w:pPr>
        <w:pStyle w:val="11"/>
      </w:pPr>
      <w:r>
        <w:t>另一方面，在“碳达峰、碳中和”目标的约束下，交通运输环节的节能减排压力不断增加。垃圾转运作为城市物流的重要组成部分，其运行过程中存在频次高、能耗大的特点，因此成为节能优化的重点领域。但从实际情况来看，许多企业更多关注设备更新，而对运营过程中的路径选择、调度方式等问题重视不足。</w:t>
      </w:r>
    </w:p>
    <w:p w14:paraId="1A3D5A89">
      <w:pPr>
        <w:pStyle w:val="11"/>
        <w:ind w:firstLine="488" w:firstLineChars="200"/>
        <w:rPr>
          <w:rFonts w:hint="eastAsia"/>
        </w:rPr>
      </w:pPr>
    </w:p>
    <w:p w14:paraId="0109C68A">
      <w:pPr>
        <w:pStyle w:val="11"/>
      </w:pPr>
      <w:r>
        <w:t>因此，如何借助信息技术手段，提高调度科学性，实现成本控制与效率提升，成为当前亟须研究的问题。</w:t>
      </w:r>
    </w:p>
    <w:p w14:paraId="49CEBCB3">
      <w:pPr>
        <w:pStyle w:val="4"/>
        <w:keepNext/>
        <w:numPr>
          <w:ilvl w:val="0"/>
          <w:numId w:val="3"/>
        </w:numPr>
        <w:ind w:left="0" w:leftChars="0" w:firstLine="0" w:firstLineChars="0"/>
      </w:pPr>
      <w:bookmarkStart w:id="6" w:name="_Toc316257955"/>
      <w:bookmarkStart w:id="7" w:name="_Toc932147039"/>
      <w:r>
        <w:t>微观背景：合肥城市更新与辉达公司的挑战</w:t>
      </w:r>
      <w:bookmarkEnd w:id="6"/>
      <w:bookmarkEnd w:id="7"/>
    </w:p>
    <w:p w14:paraId="73C5CB73">
      <w:pPr>
        <w:pStyle w:val="11"/>
      </w:pPr>
      <w:r>
        <w:t>合肥市作为区域中心城市，近年来人口规模不断扩大，城市建设持续推进，生活垃圾产生量明显增加。同时，转运站点布局逐渐分散，使得运输距离延长，作业难度加大。</w:t>
      </w:r>
    </w:p>
    <w:p w14:paraId="3C46850B">
      <w:pPr>
        <w:pStyle w:val="11"/>
        <w:ind w:firstLine="488" w:firstLineChars="200"/>
        <w:rPr>
          <w:rFonts w:hint="eastAsia"/>
        </w:rPr>
      </w:pPr>
    </w:p>
    <w:p w14:paraId="2B9B74F1">
      <w:pPr>
        <w:pStyle w:val="11"/>
      </w:pPr>
      <w:r>
        <w:t>合肥辉达环境产业有限公司（以下简称“辉达公司”）长期承担当地垃圾收集与转运任务。为提升管理水平，公司于2022年建设了智慧环卫平台，引入车辆定位、油耗监测和自动计量等功能模块。</w:t>
      </w:r>
    </w:p>
    <w:p w14:paraId="160CAFB2">
      <w:pPr>
        <w:pStyle w:val="11"/>
        <w:ind w:firstLine="488" w:firstLineChars="200"/>
        <w:rPr>
          <w:rFonts w:hint="eastAsia"/>
        </w:rPr>
      </w:pPr>
    </w:p>
    <w:p w14:paraId="063A550F">
      <w:pPr>
        <w:pStyle w:val="11"/>
      </w:pPr>
      <w:r>
        <w:t>但在实际运行过程中，企业发现平台数据虽然较为完整，但整体效率提升并不明显。具体表现为：系统数据与实际调度存在脱节，部分作业仍依赖人工经验；面对突发情况，响应速度较慢；部分车辆运行成本未有效下降。</w:t>
      </w:r>
    </w:p>
    <w:p w14:paraId="3C0162A1">
      <w:pPr>
        <w:pStyle w:val="11"/>
        <w:ind w:firstLine="488" w:firstLineChars="200"/>
        <w:rPr>
          <w:rFonts w:hint="eastAsia"/>
        </w:rPr>
      </w:pPr>
    </w:p>
    <w:p w14:paraId="54580A41">
      <w:pPr>
        <w:pStyle w:val="11"/>
      </w:pPr>
      <w:r>
        <w:t>由此可以看出，当前问题并不在于技术缺失，而在于数据未能有效融入管理流程，导致信息价值未能得到充分发挥。</w:t>
      </w:r>
    </w:p>
    <w:p w14:paraId="136ED4ED">
      <w:pPr>
        <w:pStyle w:val="3"/>
        <w:keepNext/>
        <w:widowControl/>
        <w:numPr>
          <w:ilvl w:val="0"/>
          <w:numId w:val="2"/>
        </w:numPr>
        <w:ind w:left="0" w:leftChars="0" w:firstLine="0" w:firstLineChars="0"/>
      </w:pPr>
      <w:bookmarkStart w:id="8" w:name="_Toc702079608"/>
      <w:bookmarkStart w:id="9" w:name="_Toc325423360"/>
      <w:r>
        <w:t>研究意义</w:t>
      </w:r>
      <w:bookmarkEnd w:id="8"/>
      <w:bookmarkEnd w:id="9"/>
    </w:p>
    <w:p w14:paraId="748E51E3">
      <w:pPr>
        <w:pStyle w:val="4"/>
        <w:keepNext/>
        <w:numPr>
          <w:ilvl w:val="0"/>
          <w:numId w:val="4"/>
        </w:numPr>
        <w:ind w:left="0" w:leftChars="0" w:firstLine="0" w:firstLineChars="0"/>
      </w:pPr>
      <w:bookmarkStart w:id="10" w:name="_Toc1576815038"/>
      <w:bookmarkStart w:id="11" w:name="_Toc1897046258"/>
      <w:r>
        <w:t>理论意义</w:t>
      </w:r>
      <w:bookmarkEnd w:id="10"/>
      <w:bookmarkEnd w:id="11"/>
    </w:p>
    <w:p w14:paraId="0E995CD7">
      <w:pPr>
        <w:pStyle w:val="11"/>
      </w:pPr>
      <w:r>
        <w:t>本文将业务流程再造理论与精细化管理思想应用于环卫运输领域，从企业运营角度分析数字化转型中的效率问题。相较于以往侧重技术介绍的研究，本文更加关注数据与管理流程之间的关系，有助于丰富相关研究内容。</w:t>
      </w:r>
    </w:p>
    <w:p w14:paraId="2ADB3C6A">
      <w:pPr>
        <w:pStyle w:val="11"/>
      </w:pPr>
      <w:r>
        <w:t>同时，通过构建多维度评价指标体系，对运营效率进行量化分析，为后续研究提供一定参考。</w:t>
      </w:r>
    </w:p>
    <w:p w14:paraId="757B2724">
      <w:pPr>
        <w:pStyle w:val="4"/>
        <w:keepNext/>
        <w:numPr>
          <w:ilvl w:val="0"/>
          <w:numId w:val="4"/>
        </w:numPr>
        <w:ind w:left="0" w:leftChars="0" w:firstLine="0" w:firstLineChars="0"/>
      </w:pPr>
      <w:bookmarkStart w:id="12" w:name="_Toc2114234844"/>
      <w:bookmarkStart w:id="13" w:name="_Toc1582139686"/>
      <w:r>
        <w:t>实践意义</w:t>
      </w:r>
      <w:bookmarkEnd w:id="12"/>
      <w:bookmarkEnd w:id="13"/>
    </w:p>
    <w:p w14:paraId="18AA82C8">
      <w:pPr>
        <w:pStyle w:val="11"/>
      </w:pPr>
      <w:r>
        <w:t>从实践角度来看，本文以具体企业为案例，对其运行数据进行分析，并提出相应优化措施，有助于发现实际运营中的问题来源。</w:t>
      </w:r>
    </w:p>
    <w:p w14:paraId="6A2B32D9">
      <w:pPr>
        <w:pStyle w:val="11"/>
      </w:pPr>
      <w:r>
        <w:t>研究结果不仅可以为辉达公司改进管理提供依据，也对其他类似企业具有一定借鉴意义，尤其是在提升资源利用率和降低运营成本方面。</w:t>
      </w:r>
    </w:p>
    <w:p w14:paraId="558719EC">
      <w:pPr>
        <w:pStyle w:val="3"/>
        <w:keepNext/>
        <w:widowControl/>
        <w:numPr>
          <w:ilvl w:val="0"/>
          <w:numId w:val="2"/>
        </w:numPr>
        <w:ind w:left="0" w:leftChars="0" w:firstLine="0" w:firstLineChars="0"/>
      </w:pPr>
      <w:bookmarkStart w:id="14" w:name="_Toc1680599846"/>
      <w:bookmarkStart w:id="15" w:name="_Toc879185448"/>
      <w:r>
        <w:t>研究内容与方法</w:t>
      </w:r>
      <w:bookmarkEnd w:id="14"/>
      <w:bookmarkEnd w:id="15"/>
    </w:p>
    <w:p w14:paraId="7BD5D014">
      <w:pPr>
        <w:pStyle w:val="11"/>
      </w:pPr>
      <w:r>
        <w:t>本文围绕垃圾转运效率问题展开，主要内容包括现状分析、问题识别及优化方案设计。</w:t>
      </w:r>
    </w:p>
    <w:p w14:paraId="1C8B66D0">
      <w:pPr>
        <w:pStyle w:val="11"/>
      </w:pPr>
      <w:r>
        <w:t>研究过程中主要采用以下方法：</w:t>
      </w:r>
    </w:p>
    <w:p w14:paraId="4EDEEE92">
      <w:pPr>
        <w:pStyle w:val="11"/>
        <w:numPr>
          <w:ilvl w:val="0"/>
          <w:numId w:val="5"/>
        </w:numPr>
        <w:topLinePunct w:val="0"/>
        <w:ind w:left="0" w:leftChars="0" w:firstLine="480" w:firstLineChars="0"/>
        <w:rPr>
          <w:b w:val="0"/>
        </w:rPr>
      </w:pPr>
      <w:r>
        <w:t>案例分析法：选取辉达公司作为研究对象，对其实际运营情况进行分析；</w:t>
      </w:r>
    </w:p>
    <w:p w14:paraId="3641B9AD">
      <w:pPr>
        <w:pStyle w:val="11"/>
        <w:numPr>
          <w:ilvl w:val="0"/>
          <w:numId w:val="5"/>
        </w:numPr>
        <w:topLinePunct w:val="0"/>
        <w:ind w:left="0" w:leftChars="0" w:firstLine="480" w:firstLineChars="0"/>
        <w:rPr>
          <w:b w:val="0"/>
        </w:rPr>
      </w:pPr>
      <w:r>
        <w:t>数据分析法：利用企业2024年运营数据，对关键指标进行统计与对比；</w:t>
      </w:r>
    </w:p>
    <w:p w14:paraId="477F1539">
      <w:pPr>
        <w:pStyle w:val="11"/>
        <w:numPr>
          <w:ilvl w:val="0"/>
          <w:numId w:val="5"/>
        </w:numPr>
        <w:topLinePunct w:val="0"/>
        <w:ind w:left="0" w:leftChars="0" w:firstLine="480" w:firstLineChars="0"/>
        <w:rPr>
          <w:b w:val="0"/>
        </w:rPr>
      </w:pPr>
      <w:r>
        <w:t>访谈法：通过与管理人员及驾驶员沟通，了解实际操作情况，对数据结果进行补充说明。</w:t>
      </w:r>
    </w:p>
    <w:p w14:paraId="6C9E12FD">
      <w:pPr>
        <w:pStyle w:val="2"/>
        <w:keepNext/>
        <w:widowControl/>
        <w:numPr>
          <w:ilvl w:val="0"/>
          <w:numId w:val="1"/>
        </w:numPr>
        <w:ind w:left="0" w:leftChars="0" w:firstLine="0" w:firstLineChars="0"/>
      </w:pPr>
      <w:bookmarkStart w:id="16" w:name="_Toc1782333176"/>
      <w:bookmarkStart w:id="17" w:name="_Toc2136686378"/>
      <w:r>
        <w:t>理论基础与文献综述</w:t>
      </w:r>
      <w:bookmarkEnd w:id="16"/>
      <w:bookmarkEnd w:id="17"/>
    </w:p>
    <w:p w14:paraId="6DB057B3">
      <w:pPr>
        <w:pStyle w:val="3"/>
        <w:keepNext/>
        <w:widowControl/>
        <w:numPr>
          <w:ilvl w:val="0"/>
          <w:numId w:val="6"/>
        </w:numPr>
        <w:ind w:left="0" w:leftChars="0" w:firstLine="0" w:firstLineChars="0"/>
      </w:pPr>
      <w:bookmarkStart w:id="18" w:name="_Toc424297029"/>
      <w:bookmarkStart w:id="19" w:name="_Toc1066409912"/>
      <w:r>
        <w:t>相关概念界定</w:t>
      </w:r>
      <w:bookmarkEnd w:id="18"/>
      <w:bookmarkEnd w:id="19"/>
    </w:p>
    <w:p w14:paraId="0EDF6749">
      <w:pPr>
        <w:pStyle w:val="4"/>
        <w:keepNext/>
        <w:numPr>
          <w:ilvl w:val="0"/>
          <w:numId w:val="7"/>
        </w:numPr>
        <w:ind w:left="0" w:leftChars="0" w:firstLine="0" w:firstLineChars="0"/>
      </w:pPr>
      <w:bookmarkStart w:id="20" w:name="_Toc1514458363"/>
      <w:bookmarkStart w:id="21" w:name="_Toc252873122"/>
      <w:r>
        <w:t>智慧环卫 (Smart Sanitation)</w:t>
      </w:r>
      <w:bookmarkEnd w:id="20"/>
      <w:bookmarkEnd w:id="21"/>
    </w:p>
    <w:p w14:paraId="2FCF11DC">
      <w:pPr>
        <w:pStyle w:val="11"/>
      </w:pPr>
      <w:r>
        <w:t>智慧环卫是智慧城市在环境卫生领域的具体应用，主要依托物联网、大数据及云计算等技术，对环卫作业中的车辆、设施和人员进行统一管理。通过信息化手段，实现作业过程的可视化和数据化，从而提高管理效率。</w:t>
      </w:r>
    </w:p>
    <w:p w14:paraId="1125B658">
      <w:pPr>
        <w:pStyle w:val="11"/>
      </w:pPr>
      <w:r>
        <w:t>在本文中，智慧环卫平台主要指辉达公司所使用的综合管理系统，包括车辆定位、油耗监测、称重记录及视频监控等功能模块。</w:t>
      </w:r>
    </w:p>
    <w:p w14:paraId="3AF55FA2">
      <w:pPr>
        <w:pStyle w:val="4"/>
        <w:keepNext/>
        <w:numPr>
          <w:ilvl w:val="0"/>
          <w:numId w:val="7"/>
        </w:numPr>
        <w:ind w:left="0" w:leftChars="0" w:firstLine="0" w:firstLineChars="0"/>
      </w:pPr>
      <w:bookmarkStart w:id="22" w:name="_Toc168424041"/>
      <w:bookmarkStart w:id="23" w:name="_Toc1525522697"/>
      <w:r>
        <w:t>运营效率 (Operational Efficiency)</w:t>
      </w:r>
      <w:bookmarkEnd w:id="22"/>
      <w:bookmarkEnd w:id="23"/>
    </w:p>
    <w:p w14:paraId="39A638BF">
      <w:pPr>
        <w:pStyle w:val="11"/>
      </w:pPr>
      <w:r>
        <w:t>对于垃圾转运企业而言，运营效率通常体现在多个方面。首先是时间效率，即任务响应速度和作业周期；其次是成本效率，主要表现为单位运输成本；最后是资源利用效率，如车辆装载情况和路径合理性。</w:t>
      </w:r>
    </w:p>
    <w:p w14:paraId="7F85DEA2">
      <w:pPr>
        <w:pStyle w:val="11"/>
      </w:pPr>
      <w:r>
        <w:t>本文从上述三个角度出发，对企业运行情况进行分析和评价。</w:t>
      </w:r>
    </w:p>
    <w:p w14:paraId="6B470376">
      <w:pPr>
        <w:pStyle w:val="4"/>
        <w:keepNext/>
        <w:numPr>
          <w:ilvl w:val="0"/>
          <w:numId w:val="7"/>
        </w:numPr>
        <w:ind w:left="0" w:leftChars="0" w:firstLine="0" w:firstLineChars="0"/>
      </w:pPr>
      <w:bookmarkStart w:id="24" w:name="_Toc319410341"/>
      <w:bookmarkStart w:id="25" w:name="_Toc652706946"/>
      <w:r>
        <w:t>车辆路径问题 (VRP)</w:t>
      </w:r>
      <w:bookmarkEnd w:id="24"/>
      <w:bookmarkEnd w:id="25"/>
    </w:p>
    <w:p w14:paraId="50314ABC">
      <w:pPr>
        <w:pStyle w:val="11"/>
      </w:pPr>
      <w:r>
        <w:t>车辆路径问题是物流领域中的经典问题，主要研究在一定约束条件下，如何安排运输路线以降低成本。常见约束包括车辆载重限制、服务时间以及道路条件等。在垃圾转运场景中，该问题具有一定特殊性，例如运输对象为低价值但高频次的废弃物，同时还受处理站开放时间等因素影响，因此需要结合实际情况进行调整。</w:t>
      </w:r>
    </w:p>
    <w:p w14:paraId="16A3F2B1">
      <w:pPr>
        <w:pStyle w:val="3"/>
        <w:keepNext/>
        <w:widowControl/>
        <w:numPr>
          <w:ilvl w:val="0"/>
          <w:numId w:val="6"/>
        </w:numPr>
        <w:ind w:left="0" w:leftChars="0" w:firstLine="0" w:firstLineChars="0"/>
      </w:pPr>
      <w:bookmarkStart w:id="26" w:name="_Toc699172546"/>
      <w:bookmarkStart w:id="27" w:name="_Toc1767967334"/>
      <w:r>
        <w:t>国内外研究现状</w:t>
      </w:r>
      <w:bookmarkEnd w:id="26"/>
      <w:bookmarkEnd w:id="27"/>
    </w:p>
    <w:p w14:paraId="41B8E23F">
      <w:pPr>
        <w:pStyle w:val="4"/>
        <w:keepNext/>
        <w:numPr>
          <w:ilvl w:val="0"/>
          <w:numId w:val="8"/>
        </w:numPr>
        <w:ind w:left="0" w:leftChars="0" w:firstLine="0" w:firstLineChars="0"/>
      </w:pPr>
      <w:bookmarkStart w:id="28" w:name="_Toc2109947885"/>
      <w:bookmarkStart w:id="29" w:name="_Toc1643242646"/>
      <w:r>
        <w:t>国外研究现状</w:t>
      </w:r>
      <w:bookmarkEnd w:id="28"/>
      <w:bookmarkEnd w:id="29"/>
    </w:p>
    <w:p w14:paraId="028A69F4">
      <w:pPr>
        <w:pStyle w:val="11"/>
      </w:pPr>
      <w:r>
        <w:t>国外在城市垃圾管理方面起步较早，研究内容较为成熟，主要集中在以下几个方面：</w:t>
      </w:r>
    </w:p>
    <w:p w14:paraId="4DB40EB4">
      <w:pPr>
        <w:pStyle w:val="11"/>
        <w:numPr>
          <w:ilvl w:val="0"/>
          <w:numId w:val="9"/>
        </w:numPr>
        <w:ind w:left="0" w:leftChars="0" w:firstLine="480" w:firstLineChars="0"/>
        <w:rPr>
          <w:b w:val="0"/>
        </w:rPr>
      </w:pPr>
      <w:r>
        <w:t>信息技术应用。部分学者通过传感器和数据采集设备，实现对垃圾容量的实时监测，从而优化收运频率。</w:t>
      </w:r>
    </w:p>
    <w:p w14:paraId="34DC77E5">
      <w:pPr>
        <w:pStyle w:val="11"/>
        <w:numPr>
          <w:ilvl w:val="0"/>
          <w:numId w:val="9"/>
        </w:numPr>
        <w:ind w:left="0" w:leftChars="0" w:firstLine="480" w:firstLineChars="0"/>
        <w:rPr>
          <w:b w:val="0"/>
        </w:rPr>
      </w:pPr>
      <w:r>
        <w:t>路径优化方法。针对带时间限制的运输问题，研究人员多采用启发式算法或智能算法，如遗传算法和蚁群算法，以减少运输距离和能耗。</w:t>
      </w:r>
    </w:p>
    <w:p w14:paraId="712A1B5D">
      <w:pPr>
        <w:pStyle w:val="11"/>
        <w:numPr>
          <w:ilvl w:val="0"/>
          <w:numId w:val="9"/>
        </w:numPr>
        <w:ind w:left="0" w:leftChars="0" w:firstLine="480" w:firstLineChars="0"/>
        <w:rPr>
          <w:b w:val="0"/>
        </w:rPr>
      </w:pPr>
      <w:r>
        <w:t>环境影响评估。部分研究通过模型分析垃圾运输过程中的碳排放情况，为绿色发展提供依据。</w:t>
      </w:r>
    </w:p>
    <w:p w14:paraId="76C36A76">
      <w:pPr>
        <w:pStyle w:val="11"/>
      </w:pPr>
      <w:r>
        <w:t>总体来看，国外研究更加注重技术手段与实际应用的结合。</w:t>
      </w:r>
    </w:p>
    <w:p w14:paraId="14A78E5E">
      <w:pPr>
        <w:pStyle w:val="4"/>
        <w:keepNext/>
        <w:numPr>
          <w:ilvl w:val="0"/>
          <w:numId w:val="8"/>
        </w:numPr>
        <w:ind w:left="0" w:leftChars="0" w:firstLine="0" w:firstLineChars="0"/>
      </w:pPr>
      <w:bookmarkStart w:id="30" w:name="_Toc1339450902"/>
      <w:bookmarkStart w:id="31" w:name="_Toc496640284"/>
      <w:r>
        <w:t>国内研究现状</w:t>
      </w:r>
      <w:bookmarkEnd w:id="30"/>
      <w:bookmarkEnd w:id="31"/>
    </w:p>
    <w:p w14:paraId="6F1D37FC">
      <w:pPr>
        <w:pStyle w:val="11"/>
      </w:pPr>
      <w:r>
        <w:t>国内相关研究起步相对较晚，但发展较快，主要集中在以下几个方面：</w:t>
      </w:r>
    </w:p>
    <w:p w14:paraId="5339FBA6">
      <w:pPr>
        <w:pStyle w:val="11"/>
        <w:numPr>
          <w:ilvl w:val="0"/>
          <w:numId w:val="10"/>
        </w:numPr>
        <w:ind w:left="0" w:leftChars="0" w:firstLine="480" w:firstLineChars="0"/>
        <w:rPr>
          <w:b w:val="0"/>
        </w:rPr>
      </w:pPr>
      <w:r>
        <w:t>管理模式研究。一些学者从政府监管角度出发，探讨如何利用信息平台提升监管效率。</w:t>
      </w:r>
    </w:p>
    <w:p w14:paraId="441670E7">
      <w:pPr>
        <w:pStyle w:val="11"/>
        <w:numPr>
          <w:ilvl w:val="0"/>
          <w:numId w:val="10"/>
        </w:numPr>
        <w:ind w:left="0" w:leftChars="0" w:firstLine="480" w:firstLineChars="0"/>
        <w:rPr>
          <w:b w:val="0"/>
        </w:rPr>
      </w:pPr>
      <w:r>
        <w:t>路径优化应用。结合我国城市特点，对垃圾收运路径进行优化设计，以适应复杂交通环境。</w:t>
      </w:r>
    </w:p>
    <w:p w14:paraId="5942411A">
      <w:pPr>
        <w:pStyle w:val="11"/>
        <w:numPr>
          <w:ilvl w:val="0"/>
          <w:numId w:val="10"/>
        </w:numPr>
        <w:ind w:left="0" w:leftChars="0" w:firstLine="480" w:firstLineChars="0"/>
        <w:rPr>
          <w:b w:val="0"/>
        </w:rPr>
      </w:pPr>
      <w:r>
        <w:t>问题反思。有研究指出，部分企业在数字化建设过程中存在“重投入、轻应用”的情况，数据未能有效转化为管理手段。</w:t>
      </w:r>
    </w:p>
    <w:p w14:paraId="40F6E00A">
      <w:pPr>
        <w:pStyle w:val="11"/>
      </w:pPr>
      <w:r>
        <w:t>总体来看，国内研究在实践层面逐步深入，但仍有提升空间。</w:t>
      </w:r>
    </w:p>
    <w:p w14:paraId="109B1725">
      <w:pPr>
        <w:pStyle w:val="3"/>
        <w:keepNext/>
        <w:widowControl/>
        <w:numPr>
          <w:ilvl w:val="0"/>
          <w:numId w:val="6"/>
        </w:numPr>
        <w:ind w:left="0" w:leftChars="0" w:firstLine="0" w:firstLineChars="0"/>
      </w:pPr>
      <w:bookmarkStart w:id="32" w:name="_Toc80238413"/>
      <w:bookmarkStart w:id="33" w:name="_Toc1911800946"/>
      <w:r>
        <w:t>理论基础</w:t>
      </w:r>
      <w:bookmarkEnd w:id="32"/>
      <w:bookmarkEnd w:id="33"/>
    </w:p>
    <w:p w14:paraId="000150F8">
      <w:pPr>
        <w:pStyle w:val="4"/>
        <w:keepNext/>
        <w:numPr>
          <w:ilvl w:val="0"/>
          <w:numId w:val="11"/>
        </w:numPr>
        <w:ind w:left="0" w:leftChars="0" w:firstLine="0" w:firstLineChars="0"/>
      </w:pPr>
      <w:bookmarkStart w:id="34" w:name="_Toc988173008"/>
      <w:bookmarkStart w:id="35" w:name="_Toc2094760622"/>
      <w:r>
        <w:t>业务流程再造理论 (BPR)</w:t>
      </w:r>
      <w:bookmarkEnd w:id="34"/>
      <w:bookmarkEnd w:id="35"/>
    </w:p>
    <w:p w14:paraId="4FD2B564">
      <w:pPr>
        <w:pStyle w:val="11"/>
      </w:pPr>
      <w:r>
        <w:t>业务流程再造理论强调对原有流程进行重新设计，以提高整体效率。在实际应用中，不仅是对局部环节进行调整，而是从整体角度优化流程结构。对于辉达公司而言，仅仅在原有“固定排班”上微调已无法解决效率瓶颈，必须运用BPR思想，打破传统职能分工，建立新的作业流程。</w:t>
      </w:r>
    </w:p>
    <w:p w14:paraId="78853D03">
      <w:pPr>
        <w:pStyle w:val="4"/>
        <w:keepNext/>
        <w:numPr>
          <w:ilvl w:val="0"/>
          <w:numId w:val="11"/>
        </w:numPr>
        <w:ind w:left="0" w:leftChars="0" w:firstLine="0" w:firstLineChars="0"/>
      </w:pPr>
      <w:bookmarkStart w:id="36" w:name="_Toc794865036"/>
      <w:bookmarkStart w:id="37" w:name="_Toc1732703205"/>
      <w:r>
        <w:t>精细化管理理论</w:t>
      </w:r>
      <w:bookmarkEnd w:id="36"/>
      <w:bookmarkEnd w:id="37"/>
    </w:p>
    <w:p w14:paraId="3C92B9DB">
      <w:pPr>
        <w:pStyle w:val="11"/>
      </w:pPr>
      <w:r>
        <w:t>精细化管理强调通过数据支持，实现对各环节的精确控制。其核心在于细化管理对象，提高管理透明度，并通过考核机制促进效率提升。</w:t>
      </w:r>
    </w:p>
    <w:p w14:paraId="77B1B274">
      <w:pPr>
        <w:pStyle w:val="11"/>
      </w:pPr>
      <w:r>
        <w:t>在垃圾转运过程中，该理论可用于成本控制和绩效评价，通过细化到单车或单次作业，提高管理效果。</w:t>
      </w:r>
    </w:p>
    <w:p w14:paraId="2A4D9666">
      <w:pPr>
        <w:pStyle w:val="4"/>
        <w:keepNext/>
        <w:numPr>
          <w:ilvl w:val="0"/>
          <w:numId w:val="11"/>
        </w:numPr>
        <w:ind w:left="0" w:leftChars="0" w:firstLine="0" w:firstLineChars="0"/>
      </w:pPr>
      <w:bookmarkStart w:id="38" w:name="_Toc1948375712"/>
      <w:bookmarkStart w:id="39" w:name="_Toc1664513115"/>
      <w:r>
        <w:t>BPR理论适用性分析</w:t>
      </w:r>
      <w:bookmarkEnd w:id="38"/>
      <w:bookmarkEnd w:id="39"/>
    </w:p>
    <w:p w14:paraId="0DB36874">
      <w:pPr>
        <w:pStyle w:val="11"/>
      </w:pPr>
      <w:r>
        <w:t>虽然业务流程再造强调大幅度变革，但在环卫行业中需要考虑实际情况。例如，垃圾转运具有连续性要求，一旦中断将直接影响城市运行。</w:t>
      </w:r>
    </w:p>
    <w:p w14:paraId="14CDE841">
      <w:pPr>
        <w:pStyle w:val="11"/>
      </w:pPr>
      <w:r>
        <w:t>因此，在实际优化过程中，应采取逐步改进的方式，在保持基本运行稳定的前提下，对调度和考核机制进行调整，而不是完全推翻原有体系。</w:t>
      </w:r>
    </w:p>
    <w:p w14:paraId="1524A02D">
      <w:pPr>
        <w:pStyle w:val="3"/>
        <w:keepNext/>
        <w:widowControl/>
        <w:numPr>
          <w:ilvl w:val="0"/>
          <w:numId w:val="6"/>
        </w:numPr>
        <w:ind w:left="0" w:leftChars="0" w:firstLine="0" w:firstLineChars="0"/>
      </w:pPr>
      <w:bookmarkStart w:id="40" w:name="_Toc202454336"/>
      <w:bookmarkStart w:id="41" w:name="_Toc1519942128"/>
      <w:r>
        <w:t>数字化转型分析框架</w:t>
      </w:r>
      <w:bookmarkEnd w:id="40"/>
      <w:bookmarkEnd w:id="41"/>
    </w:p>
    <w:p w14:paraId="31092A33">
      <w:pPr>
        <w:pStyle w:val="11"/>
      </w:pPr>
      <w:r>
        <w:t>更好地分析企业存在的问题，本文从技术、流程和行为三个方面构建分析框架。</w:t>
      </w:r>
    </w:p>
    <w:p w14:paraId="7D79E6A9">
      <w:pPr>
        <w:pStyle w:val="11"/>
        <w:numPr>
          <w:ilvl w:val="0"/>
          <w:numId w:val="12"/>
        </w:numPr>
        <w:topLinePunct w:val="0"/>
        <w:ind w:left="0" w:leftChars="0" w:firstLine="480" w:firstLineChars="0"/>
        <w:rPr>
          <w:b w:val="0"/>
        </w:rPr>
      </w:pPr>
      <w:r>
        <w:t>技术层：主要作用是实现数据采集，使作业过程可记录；</w:t>
      </w:r>
    </w:p>
    <w:p w14:paraId="1539A073">
      <w:pPr>
        <w:pStyle w:val="11"/>
        <w:numPr>
          <w:ilvl w:val="0"/>
          <w:numId w:val="12"/>
        </w:numPr>
        <w:topLinePunct w:val="0"/>
        <w:ind w:left="0" w:leftChars="0" w:firstLine="480" w:firstLineChars="0"/>
        <w:rPr>
          <w:b w:val="0"/>
        </w:rPr>
      </w:pPr>
      <w:r>
        <w:t>流程层：通过数据支持优化调度方式，实现合理决策；</w:t>
      </w:r>
    </w:p>
    <w:p w14:paraId="296890FE">
      <w:pPr>
        <w:pStyle w:val="11"/>
        <w:numPr>
          <w:ilvl w:val="0"/>
          <w:numId w:val="12"/>
        </w:numPr>
        <w:topLinePunct w:val="0"/>
        <w:ind w:left="0" w:leftChars="0" w:firstLine="480" w:firstLineChars="0"/>
        <w:rPr>
          <w:b w:val="0"/>
        </w:rPr>
      </w:pPr>
      <w:r>
        <w:t>行为层：通过考核机制，引导员工按照系统要求执行。</w:t>
      </w:r>
    </w:p>
    <w:p w14:paraId="4C4DEE6E">
      <w:pPr>
        <w:pStyle w:val="11"/>
      </w:pPr>
      <w:r>
        <w:t>结合该框架可以发现，辉达公司目前已具备较好的技术基础，但在流程应用和人员激励方面仍存在不足。因此，后续优化需要重点关注这两个方面。</w:t>
      </w:r>
    </w:p>
    <w:p w14:paraId="01147CE8">
      <w:pPr>
        <w:pStyle w:val="2"/>
        <w:keepNext/>
        <w:widowControl/>
        <w:numPr>
          <w:ilvl w:val="0"/>
          <w:numId w:val="1"/>
        </w:numPr>
        <w:ind w:left="0" w:leftChars="0" w:firstLine="0" w:firstLineChars="0"/>
      </w:pPr>
      <w:bookmarkStart w:id="42" w:name="_Toc1035928304"/>
      <w:bookmarkStart w:id="43" w:name="_Toc1349364231"/>
      <w:r>
        <w:t>合肥辉达公司垃圾转运运营现状及问题诊断</w:t>
      </w:r>
      <w:bookmarkEnd w:id="42"/>
      <w:bookmarkEnd w:id="43"/>
    </w:p>
    <w:p w14:paraId="6758D1E0">
      <w:pPr>
        <w:pStyle w:val="3"/>
        <w:keepNext/>
        <w:widowControl/>
        <w:numPr>
          <w:ilvl w:val="0"/>
          <w:numId w:val="13"/>
        </w:numPr>
        <w:ind w:left="0" w:leftChars="0" w:firstLine="0" w:firstLineChars="0"/>
      </w:pPr>
      <w:bookmarkStart w:id="44" w:name="_Toc1197079099"/>
      <w:bookmarkStart w:id="45" w:name="_Toc1337318097"/>
      <w:r>
        <w:t>公司及智慧平台概况</w:t>
      </w:r>
      <w:bookmarkEnd w:id="44"/>
      <w:bookmarkEnd w:id="45"/>
    </w:p>
    <w:p w14:paraId="1DEC7133">
      <w:pPr>
        <w:pStyle w:val="11"/>
      </w:pPr>
      <w:r>
        <w:t>合肥辉达环境产业有限公司成立于2010年，主要从事城市生活垃圾收集与转运业务。近年来，公司逐步引入信息化管理手段，建设了智慧环卫平台，用于提升管理效率。</w:t>
      </w:r>
    </w:p>
    <w:p w14:paraId="75249F01">
      <w:pPr>
        <w:pStyle w:val="11"/>
      </w:pPr>
      <w:r>
        <w:t>目前平台主要包括以下功能：</w:t>
      </w:r>
    </w:p>
    <w:p w14:paraId="4493C22F">
      <w:pPr>
        <w:pStyle w:val="11"/>
        <w:numPr>
          <w:ilvl w:val="0"/>
          <w:numId w:val="14"/>
        </w:numPr>
        <w:topLinePunct w:val="0"/>
        <w:ind w:left="0" w:leftChars="0" w:firstLine="480" w:firstLineChars="0"/>
        <w:rPr>
          <w:b w:val="0"/>
        </w:rPr>
      </w:pPr>
      <w:r>
        <w:t>车辆定位系统，用于记录运行轨迹；</w:t>
      </w:r>
    </w:p>
    <w:p w14:paraId="01253449">
      <w:pPr>
        <w:pStyle w:val="11"/>
        <w:numPr>
          <w:ilvl w:val="0"/>
          <w:numId w:val="14"/>
        </w:numPr>
        <w:topLinePunct w:val="0"/>
        <w:ind w:left="0" w:leftChars="0" w:firstLine="480" w:firstLineChars="0"/>
        <w:rPr>
          <w:b w:val="0"/>
        </w:rPr>
      </w:pPr>
      <w:r>
        <w:t>油耗监测系统，用于统计燃油使用情况；</w:t>
      </w:r>
    </w:p>
    <w:p w14:paraId="61B53C04">
      <w:pPr>
        <w:pStyle w:val="11"/>
        <w:numPr>
          <w:ilvl w:val="0"/>
          <w:numId w:val="14"/>
        </w:numPr>
        <w:topLinePunct w:val="0"/>
        <w:ind w:left="0" w:leftChars="0" w:firstLine="480" w:firstLineChars="0"/>
        <w:rPr>
          <w:b w:val="0"/>
        </w:rPr>
      </w:pPr>
      <w:r>
        <w:t>自动称重系统，用于获取转运量数据；</w:t>
      </w:r>
    </w:p>
    <w:p w14:paraId="54E57AB0">
      <w:pPr>
        <w:pStyle w:val="11"/>
        <w:numPr>
          <w:ilvl w:val="0"/>
          <w:numId w:val="14"/>
        </w:numPr>
        <w:topLinePunct w:val="0"/>
        <w:ind w:left="0" w:leftChars="0" w:firstLine="480" w:firstLineChars="0"/>
        <w:rPr>
          <w:b w:val="0"/>
        </w:rPr>
      </w:pPr>
      <w:r>
        <w:t>视频监控系统，用于监督作业行为。</w:t>
      </w:r>
    </w:p>
    <w:p w14:paraId="76AF2915">
      <w:pPr>
        <w:pStyle w:val="11"/>
      </w:pPr>
      <w:r>
        <w:t>从功能上看，该系统已具备基本的数据采集能力，为后续分析提供了基础</w:t>
      </w:r>
    </w:p>
    <w:p w14:paraId="7F8C67A9">
      <w:pPr>
        <w:pStyle w:val="3"/>
        <w:keepNext/>
        <w:widowControl/>
        <w:numPr>
          <w:ilvl w:val="0"/>
          <w:numId w:val="13"/>
        </w:numPr>
        <w:ind w:left="0" w:leftChars="0" w:firstLine="0" w:firstLineChars="0"/>
      </w:pPr>
      <w:bookmarkStart w:id="46" w:name="_Toc1681611797"/>
      <w:bookmarkStart w:id="47" w:name="_Toc741406777"/>
      <w:r>
        <w:t>运营现状数据呈现</w:t>
      </w:r>
      <w:bookmarkEnd w:id="46"/>
      <w:bookmarkEnd w:id="47"/>
    </w:p>
    <w:p w14:paraId="29AA7635">
      <w:pPr>
        <w:pStyle w:val="11"/>
      </w:pPr>
      <w:r>
        <w:t>根据公司2024年全年数据，当前运营有着以下特点：</w:t>
      </w:r>
    </w:p>
    <w:p w14:paraId="0BB59B47">
      <w:pPr>
        <w:pStyle w:val="11"/>
        <w:numPr>
          <w:ilvl w:val="0"/>
          <w:numId w:val="15"/>
        </w:numPr>
        <w:topLinePunct w:val="0"/>
        <w:ind w:left="0" w:leftChars="0" w:firstLine="480" w:firstLineChars="0"/>
        <w:rPr>
          <w:b w:val="0"/>
        </w:rPr>
      </w:pPr>
      <w:r>
        <w:t>车辆规模约45台，承担多个区域转运任务；</w:t>
      </w:r>
    </w:p>
    <w:p w14:paraId="157CDBF0">
      <w:pPr>
        <w:pStyle w:val="11"/>
        <w:numPr>
          <w:ilvl w:val="0"/>
          <w:numId w:val="15"/>
        </w:numPr>
        <w:topLinePunct w:val="0"/>
        <w:ind w:left="0" w:leftChars="0" w:firstLine="480" w:firstLineChars="0"/>
        <w:rPr>
          <w:b w:val="0"/>
        </w:rPr>
      </w:pPr>
      <w:r>
        <w:t>垃圾转运量存在明显波动，夏季为高峰期；</w:t>
      </w:r>
    </w:p>
    <w:p w14:paraId="6179394C">
      <w:pPr>
        <w:pStyle w:val="11"/>
        <w:numPr>
          <w:ilvl w:val="0"/>
          <w:numId w:val="15"/>
        </w:numPr>
        <w:topLinePunct w:val="0"/>
        <w:ind w:left="0" w:leftChars="0" w:firstLine="480" w:firstLineChars="0"/>
        <w:rPr>
          <w:b w:val="0"/>
        </w:rPr>
      </w:pPr>
      <w:r>
        <w:t>不同时间段作业负荷差异较大。</w:t>
      </w:r>
    </w:p>
    <w:p w14:paraId="01CF8109">
      <w:pPr>
        <w:pStyle w:val="11"/>
      </w:pPr>
      <w:r>
        <w:t>在关键指标方面：</w:t>
      </w:r>
    </w:p>
    <w:p w14:paraId="426C536A">
      <w:pPr>
        <w:pStyle w:val="11"/>
        <w:numPr>
          <w:ilvl w:val="0"/>
          <w:numId w:val="16"/>
        </w:numPr>
        <w:tabs>
          <w:tab w:val="clear" w:pos="840"/>
        </w:tabs>
        <w:ind w:left="1265" w:leftChars="0" w:hanging="425" w:firstLineChars="0"/>
      </w:pPr>
      <w:r>
        <w:t>平均满载率约为72%左右</w:t>
      </w:r>
    </w:p>
    <w:p w14:paraId="3007C8F6">
      <w:pPr>
        <w:pStyle w:val="11"/>
        <w:numPr>
          <w:ilvl w:val="0"/>
          <w:numId w:val="16"/>
        </w:numPr>
        <w:tabs>
          <w:tab w:val="clear" w:pos="840"/>
        </w:tabs>
        <w:ind w:left="1265" w:leftChars="0" w:hanging="425" w:firstLineChars="0"/>
      </w:pPr>
      <w:r>
        <w:t>百公里油耗约在35L–40L区间</w:t>
      </w:r>
    </w:p>
    <w:p w14:paraId="20473AB9">
      <w:pPr>
        <w:pStyle w:val="11"/>
        <w:numPr>
          <w:ilvl w:val="0"/>
          <w:numId w:val="16"/>
        </w:numPr>
        <w:tabs>
          <w:tab w:val="clear" w:pos="840"/>
        </w:tabs>
        <w:ind w:left="1265" w:leftChars="0" w:hanging="425" w:firstLineChars="0"/>
      </w:pPr>
      <w:r>
        <w:t>车辆等待时间较长（约40分钟以上）</w:t>
      </w:r>
    </w:p>
    <w:p w14:paraId="42EC08E4">
      <w:pPr>
        <w:pStyle w:val="11"/>
      </w:pPr>
      <w:r>
        <w:t>从行业情况来看，运输车辆能耗受调度方式和驾驶行为影响较大，因此上述数据具有一定代表性。</w:t>
      </w:r>
    </w:p>
    <w:p w14:paraId="450DEBE9">
      <w:pPr>
        <w:pStyle w:val="3"/>
        <w:keepNext/>
        <w:widowControl/>
        <w:numPr>
          <w:ilvl w:val="0"/>
          <w:numId w:val="13"/>
        </w:numPr>
        <w:ind w:left="0" w:leftChars="0" w:firstLine="0" w:firstLineChars="0"/>
      </w:pPr>
      <w:bookmarkStart w:id="48" w:name="_Toc1123581145"/>
      <w:bookmarkStart w:id="49" w:name="_Toc1964677659"/>
      <w:r>
        <w:t>运营效率评价指标体系构建</w:t>
      </w:r>
      <w:bookmarkEnd w:id="48"/>
      <w:bookmarkEnd w:id="49"/>
    </w:p>
    <w:p w14:paraId="7D955096">
      <w:pPr>
        <w:pStyle w:val="11"/>
      </w:pPr>
      <w:r>
        <w:t>为了更清晰地分析问题，本文从三个方面对运营情况进行评价：</w:t>
      </w:r>
    </w:p>
    <w:p w14:paraId="6ACF6BC5">
      <w:pPr>
        <w:pStyle w:val="11"/>
        <w:numPr>
          <w:ilvl w:val="0"/>
          <w:numId w:val="17"/>
        </w:numPr>
        <w:topLinePunct w:val="0"/>
        <w:ind w:left="0" w:leftChars="0" w:firstLine="480" w:firstLineChars="0"/>
        <w:rPr>
          <w:b w:val="0"/>
        </w:rPr>
      </w:pPr>
      <w:r>
        <w:t>成本效率</w:t>
      </w:r>
    </w:p>
    <w:p w14:paraId="66FC0454">
      <w:pPr>
        <w:pStyle w:val="11"/>
      </w:pPr>
      <w:r>
        <w:t>主要关注燃油消耗和单位运输成本。当前存在的问题是油耗偏高，说明车辆运行过程中存在不必要消耗。</w:t>
      </w:r>
    </w:p>
    <w:p w14:paraId="63E0D42A">
      <w:pPr>
        <w:pStyle w:val="11"/>
        <w:numPr>
          <w:ilvl w:val="0"/>
          <w:numId w:val="17"/>
        </w:numPr>
        <w:topLinePunct w:val="0"/>
        <w:ind w:left="0" w:leftChars="0" w:firstLine="480" w:firstLineChars="0"/>
        <w:rPr>
          <w:b w:val="0"/>
        </w:rPr>
      </w:pPr>
      <w:r>
        <w:t>资源利用效率</w:t>
      </w:r>
    </w:p>
    <w:p w14:paraId="177DB418">
      <w:pPr>
        <w:pStyle w:val="11"/>
      </w:pPr>
      <w:r>
        <w:t>通过满载率衡量车辆利用情况。当前平均水平较低，说明部分运输任务未充分利用车辆容量。</w:t>
      </w:r>
    </w:p>
    <w:p w14:paraId="06DE94FC">
      <w:pPr>
        <w:pStyle w:val="11"/>
        <w:numPr>
          <w:ilvl w:val="0"/>
          <w:numId w:val="17"/>
        </w:numPr>
        <w:topLinePunct w:val="0"/>
        <w:ind w:left="0" w:leftChars="0" w:firstLine="480" w:firstLineChars="0"/>
        <w:rPr>
          <w:b w:val="0"/>
        </w:rPr>
      </w:pPr>
      <w:r>
        <w:t>时间效率</w:t>
      </w:r>
    </w:p>
    <w:p w14:paraId="2C49D0AC">
      <w:pPr>
        <w:pStyle w:val="11"/>
      </w:pPr>
      <w:r>
        <w:t>主要体现在响应速度和等待时间。当前系统对突发情况反应较慢，导致作业效率下降。</w:t>
      </w:r>
    </w:p>
    <w:p w14:paraId="63D74315">
      <w:pPr>
        <w:pStyle w:val="3"/>
        <w:keepNext/>
        <w:widowControl/>
        <w:numPr>
          <w:ilvl w:val="0"/>
          <w:numId w:val="13"/>
        </w:numPr>
        <w:ind w:left="0" w:leftChars="0" w:firstLine="0" w:firstLineChars="0"/>
      </w:pPr>
      <w:bookmarkStart w:id="50" w:name="_Toc1204595944"/>
      <w:bookmarkStart w:id="51" w:name="_Toc628858541"/>
      <w:r>
        <w:t>基于数据的运营效率问题诊断</w:t>
      </w:r>
      <w:bookmarkEnd w:id="50"/>
      <w:bookmarkEnd w:id="51"/>
    </w:p>
    <w:p w14:paraId="1EE19082">
      <w:pPr>
        <w:pStyle w:val="11"/>
      </w:pPr>
      <w:r>
        <w:t>通过对企业运行数据及实际作业情况的分析，可以发现当前运营效率不足主要集中在调度方式、路径选择以及数据应用三个方面。</w:t>
      </w:r>
    </w:p>
    <w:p w14:paraId="1EC7999D">
      <w:pPr>
        <w:pStyle w:val="11"/>
      </w:pPr>
      <w:r>
        <w:t>在车辆调度方面，公司目前仍以固定排班为主。这种方式在垃圾产生量较为稳定时可以正常运行，但在实际过程中，不同时间段垃圾量波动较大。高峰时段往往出现车辆排队等待的情况，而在垃圾量较少的时段，又存在车辆装载不足甚至空驶的现象。这种供需不匹配导致运力利用效率下降，是影响整体效率的重要原因之一。</w:t>
      </w:r>
    </w:p>
    <w:p w14:paraId="35D415FD">
      <w:pPr>
        <w:pStyle w:val="11"/>
      </w:pPr>
      <w:r>
        <w:t>在运输路径方面，部分车辆实际行驶路线与系统推荐路线存在偏差。实际运行中，一些司机会根据个人经验选择行驶路线，导致行驶距离增加，同时频繁启停也会提高燃油消耗。从整体来看，路径偏离不仅增加了运输成本，也降低了作业效率，说明当前对行驶路径缺乏有效约束。</w:t>
      </w:r>
    </w:p>
    <w:p w14:paraId="1D7F8530">
      <w:pPr>
        <w:pStyle w:val="11"/>
      </w:pPr>
      <w:r>
        <w:t>在数据应用方面，虽然企业已经建立了较为完善的信息平台，但数据在管理中的作用尚未充分发挥。目前绩效考核主要依据运输次数，对油耗水平、驾驶行为等关键指标关注较少，导致不同驾驶方式之间的差异未能体现。同时，由于缺乏有效的反馈机制，节能行为未得到激励，部分不规范操作也未被及时纠正。这种情况下，数据未能形成对管理的有效支持。</w:t>
      </w:r>
    </w:p>
    <w:p w14:paraId="604B5FF7">
      <w:pPr>
        <w:pStyle w:val="11"/>
      </w:pPr>
      <w:r>
        <w:t>综合来看，上述问题并非源于技术条件不足，而是由于数据未能与实际管理流程有效结合，导致信息价值未能得到充分利用。因此，提高运营效率的关键在于加强数据与调度、考核等环节的衔接。</w:t>
      </w:r>
    </w:p>
    <w:p w14:paraId="75116F0A">
      <w:pPr>
        <w:pStyle w:val="2"/>
        <w:keepNext/>
        <w:widowControl/>
        <w:numPr>
          <w:ilvl w:val="0"/>
          <w:numId w:val="1"/>
        </w:numPr>
        <w:ind w:left="0" w:leftChars="0" w:firstLine="0" w:firstLineChars="0"/>
      </w:pPr>
      <w:bookmarkStart w:id="52" w:name="_Toc1315690539"/>
      <w:bookmarkStart w:id="53" w:name="_Toc1458471700"/>
      <w:r>
        <w:t>辉达公司垃圾转运运营效率优化方案设计</w:t>
      </w:r>
      <w:bookmarkEnd w:id="52"/>
      <w:bookmarkEnd w:id="53"/>
    </w:p>
    <w:p w14:paraId="01CB3CC2">
      <w:pPr>
        <w:pStyle w:val="3"/>
        <w:keepNext/>
        <w:widowControl/>
        <w:numPr>
          <w:ilvl w:val="0"/>
          <w:numId w:val="18"/>
        </w:numPr>
        <w:ind w:left="0" w:leftChars="0" w:firstLine="0" w:firstLineChars="0"/>
      </w:pPr>
      <w:bookmarkStart w:id="54" w:name="_Toc1155515042"/>
      <w:bookmarkStart w:id="55" w:name="_Toc171775814"/>
      <w:r>
        <w:t>优化目标与原则</w:t>
      </w:r>
      <w:bookmarkEnd w:id="54"/>
      <w:bookmarkEnd w:id="55"/>
    </w:p>
    <w:p w14:paraId="448CF934">
      <w:pPr>
        <w:pStyle w:val="11"/>
      </w:pPr>
      <w:r>
        <w:t>基于BPR理论，本章旨在通过流程再造实现：单吨转运成本降低10%，车辆满载率提升至85%，满溢响应时间缩短至15分钟。遵循数据驱动、闭环管理与人机协同三大原则。</w:t>
      </w:r>
    </w:p>
    <w:p w14:paraId="108BCAE5">
      <w:pPr>
        <w:pStyle w:val="3"/>
        <w:keepNext/>
        <w:widowControl/>
        <w:numPr>
          <w:ilvl w:val="0"/>
          <w:numId w:val="18"/>
        </w:numPr>
        <w:ind w:left="0" w:leftChars="0" w:firstLine="0" w:firstLineChars="0"/>
      </w:pPr>
      <w:bookmarkStart w:id="56" w:name="_Toc1046691073"/>
      <w:bookmarkStart w:id="57" w:name="_Toc818084330"/>
      <w:r>
        <w:t>基于BPR的转运流程重构</w:t>
      </w:r>
      <w:bookmarkEnd w:id="56"/>
      <w:bookmarkEnd w:id="57"/>
    </w:p>
    <w:p w14:paraId="1236487B">
      <w:pPr>
        <w:pStyle w:val="4"/>
        <w:keepNext/>
        <w:numPr>
          <w:ilvl w:val="0"/>
          <w:numId w:val="19"/>
        </w:numPr>
        <w:ind w:left="0" w:leftChars="0" w:firstLine="0" w:firstLineChars="0"/>
      </w:pPr>
      <w:bookmarkStart w:id="58" w:name="_Toc1353026216"/>
      <w:bookmarkStart w:id="59" w:name="_Toc1698311334"/>
      <w:r>
        <w:t>从“推式”到“拉式”的动态调度</w:t>
      </w:r>
      <w:bookmarkEnd w:id="58"/>
      <w:bookmarkEnd w:id="59"/>
    </w:p>
    <w:p w14:paraId="130231F0">
      <w:pPr>
        <w:pStyle w:val="11"/>
      </w:pPr>
      <w:r>
        <w:t>废除固定排班，建立基于实时需求的动态响应流程。</w:t>
      </w:r>
    </w:p>
    <w:p w14:paraId="6C5561ED">
      <w:pPr>
        <w:pStyle w:val="11"/>
      </w:pPr>
      <w:r>
        <w:t>状态感知：利用中转站传感器将垃圾量分为绿色（&lt;50%）、黄色（50%—80%）、红色（80%）三级。</w:t>
      </w:r>
    </w:p>
    <w:p w14:paraId="7AFEA1A5">
      <w:pPr>
        <w:pStyle w:val="11"/>
      </w:pPr>
      <w:r>
        <w:t>触发机制：由“时间表触发”转变为“阈值触发”。当达到黄色预警时，平台自动计算最优路径进入预调度；达到红色时，生成紧急工单锁定最近空闲车辆。</w:t>
      </w:r>
    </w:p>
    <w:p w14:paraId="1B4C0E18">
      <w:pPr>
        <w:pStyle w:val="4"/>
        <w:keepNext/>
        <w:numPr>
          <w:ilvl w:val="0"/>
          <w:numId w:val="19"/>
        </w:numPr>
        <w:ind w:left="0" w:leftChars="0" w:firstLine="0" w:firstLineChars="0"/>
      </w:pPr>
      <w:bookmarkStart w:id="60" w:name="_Toc1313438261"/>
      <w:bookmarkStart w:id="61" w:name="_Toc607274229"/>
      <w:r>
        <w:t>VRP逻辑下的“巡回取货”模式</w:t>
      </w:r>
      <w:bookmarkEnd w:id="60"/>
      <w:bookmarkEnd w:id="61"/>
    </w:p>
    <w:p w14:paraId="0D7E66C1">
      <w:pPr>
        <w:pStyle w:val="11"/>
      </w:pPr>
      <w:r>
        <w:t>针对新区站点分散问题，应用VRP逻辑设计“多点巡回”路线（Milk Run），即车辆依次收集多个非满载站点，确保回程时处于满载状态，减少无效空驶。</w:t>
      </w:r>
    </w:p>
    <w:p w14:paraId="7315D1B7">
      <w:pPr>
        <w:pStyle w:val="3"/>
        <w:keepNext/>
        <w:widowControl/>
        <w:numPr>
          <w:ilvl w:val="0"/>
          <w:numId w:val="18"/>
        </w:numPr>
        <w:ind w:left="0" w:leftChars="0" w:firstLine="0" w:firstLineChars="0"/>
      </w:pPr>
      <w:bookmarkStart w:id="62" w:name="_Toc972445114"/>
      <w:bookmarkStart w:id="63" w:name="_Toc1615676259"/>
      <w:r>
        <w:t>基于数据驱动的成本控制体系</w:t>
      </w:r>
      <w:bookmarkEnd w:id="62"/>
      <w:bookmarkEnd w:id="63"/>
    </w:p>
    <w:p w14:paraId="00B944D1">
      <w:pPr>
        <w:pStyle w:val="4"/>
        <w:keepNext/>
        <w:numPr>
          <w:ilvl w:val="0"/>
          <w:numId w:val="20"/>
        </w:numPr>
        <w:ind w:left="0" w:leftChars="0" w:firstLine="0" w:firstLineChars="0"/>
      </w:pPr>
      <w:bookmarkStart w:id="64" w:name="_Toc1887652345"/>
      <w:bookmarkStart w:id="65" w:name="_Toc1534477328"/>
      <w:r>
        <w:t>三元成本监控模型的构建逻辑与计算方法</w:t>
      </w:r>
      <w:bookmarkEnd w:id="64"/>
      <w:bookmarkEnd w:id="65"/>
    </w:p>
    <w:p w14:paraId="30F39E8E">
      <w:pPr>
        <w:pStyle w:val="11"/>
      </w:pPr>
      <w:r>
        <w:t>针对传统管理中“只看百公里油耗”导致的逻辑漏洞，本研究构建基于**“油耗（Fuel）—载重（Weight）—里程（Distance）”**的 FWD三元成本监控模型。</w:t>
      </w:r>
    </w:p>
    <w:p w14:paraId="0767B291">
      <w:pPr>
        <w:pStyle w:val="4"/>
        <w:keepNext/>
        <w:numPr>
          <w:ilvl w:val="0"/>
          <w:numId w:val="20"/>
        </w:numPr>
        <w:ind w:left="0" w:leftChars="0" w:firstLine="0" w:firstLineChars="0"/>
      </w:pPr>
      <w:bookmarkStart w:id="66" w:name="_Toc997045284"/>
      <w:bookmarkStart w:id="67" w:name="_Toc829334873"/>
      <w:r>
        <w:t>异常轨迹闭环管理</w:t>
      </w:r>
      <w:bookmarkEnd w:id="66"/>
      <w:bookmarkEnd w:id="67"/>
    </w:p>
    <w:p w14:paraId="57656284">
      <w:pPr>
        <w:pStyle w:val="11"/>
      </w:pPr>
      <w:r>
        <w:t>电子围栏：为成熟线路划定宽度500米的电子走廊。</w:t>
      </w:r>
    </w:p>
    <w:p w14:paraId="27D0DFFC">
      <w:pPr>
        <w:pStyle w:val="11"/>
      </w:pPr>
      <w:r>
        <w:t>自动预警：车辆偏航或非正常停留超过设定阈值，平台自动触发一级警报并截取视频。</w:t>
      </w:r>
    </w:p>
    <w:p w14:paraId="69C45BE5">
      <w:pPr>
        <w:pStyle w:val="11"/>
      </w:pPr>
      <w:r>
        <w:t>行政干预：调度中心介入核实，若为非必要绕路，直接关联绩效扣罚。</w:t>
      </w:r>
    </w:p>
    <w:p w14:paraId="1AEA80F3">
      <w:pPr>
        <w:pStyle w:val="3"/>
        <w:keepNext/>
        <w:widowControl/>
        <w:numPr>
          <w:ilvl w:val="0"/>
          <w:numId w:val="18"/>
        </w:numPr>
        <w:ind w:left="0" w:leftChars="0" w:firstLine="0" w:firstLineChars="0"/>
      </w:pPr>
      <w:bookmarkStart w:id="68" w:name="_Toc1462341481"/>
      <w:bookmarkStart w:id="69" w:name="_Toc525190647"/>
      <w:r>
        <w:t>智慧化绩效管理体系优化</w:t>
      </w:r>
      <w:bookmarkEnd w:id="68"/>
      <w:bookmarkEnd w:id="69"/>
    </w:p>
    <w:p w14:paraId="1C3ECFA7">
      <w:pPr>
        <w:pStyle w:val="4"/>
        <w:keepNext/>
        <w:numPr>
          <w:ilvl w:val="0"/>
          <w:numId w:val="21"/>
        </w:numPr>
        <w:ind w:left="0" w:leftChars="0" w:firstLine="0" w:firstLineChars="0"/>
      </w:pPr>
      <w:bookmarkStart w:id="70" w:name="_Toc721414959"/>
      <w:bookmarkStart w:id="71" w:name="_Toc1770414899"/>
      <w:r>
        <w:t>KPI指标重构</w:t>
      </w:r>
      <w:bookmarkEnd w:id="70"/>
      <w:bookmarkEnd w:id="71"/>
    </w:p>
    <w:p w14:paraId="44E77B68">
      <w:pPr>
        <w:pStyle w:val="11"/>
      </w:pPr>
      <w:r>
        <w:t>实施复合薪酬结构，重构KPI权重：</w:t>
      </w:r>
    </w:p>
    <w:p w14:paraId="3B2B107F">
      <w:pPr>
        <w:pStyle w:val="11"/>
      </w:pPr>
      <w:r>
        <w:t>有效转运吨位 (40%）：鼓励多拉，杜绝注水。</w:t>
      </w:r>
    </w:p>
    <w:p w14:paraId="715E0270">
      <w:pPr>
        <w:pStyle w:val="11"/>
      </w:pPr>
      <w:r>
        <w:t>吨公里油耗系数 (30%）：设定基准线，节油部分按比例返还司机。</w:t>
      </w:r>
    </w:p>
    <w:p w14:paraId="30D0D553">
      <w:pPr>
        <w:pStyle w:val="11"/>
      </w:pPr>
      <w:r>
        <w:t>准点响应率 (15%）：考核对平台指派任务的执行力。</w:t>
      </w:r>
    </w:p>
    <w:p w14:paraId="097704DC">
      <w:pPr>
        <w:pStyle w:val="11"/>
      </w:pPr>
      <w:r>
        <w:t>驾驶行为指数 (15%）：基于视频监控，扣罚急加速、急刹车行为。</w:t>
      </w:r>
    </w:p>
    <w:p w14:paraId="4340CB0F">
      <w:pPr>
        <w:pStyle w:val="4"/>
        <w:keepNext/>
        <w:numPr>
          <w:ilvl w:val="0"/>
          <w:numId w:val="21"/>
        </w:numPr>
        <w:ind w:left="0" w:leftChars="0" w:firstLine="0" w:firstLineChars="0"/>
      </w:pPr>
      <w:bookmarkStart w:id="72" w:name="_Toc128544951"/>
      <w:bookmarkStart w:id="73" w:name="_Toc1977278308"/>
      <w:r>
        <w:t>数据透明的“赛马机制”</w:t>
      </w:r>
      <w:bookmarkEnd w:id="72"/>
      <w:bookmarkEnd w:id="73"/>
    </w:p>
    <w:p w14:paraId="054B45B1">
      <w:pPr>
        <w:pStyle w:val="11"/>
      </w:pPr>
      <w:r>
        <w:t>平台每日推送《运营日报》，展示个人绩效与排名。设立“金牌驾驶员”榜单，通过正向物质奖励与荣誉激励，消除“人情分”弊端，让数据成为最公平的裁判。</w:t>
      </w:r>
    </w:p>
    <w:p w14:paraId="19C07E08">
      <w:pPr>
        <w:pStyle w:val="3"/>
        <w:keepNext/>
        <w:widowControl/>
        <w:numPr>
          <w:ilvl w:val="0"/>
          <w:numId w:val="18"/>
        </w:numPr>
        <w:ind w:left="0" w:leftChars="0" w:firstLine="0" w:firstLineChars="0"/>
      </w:pPr>
      <w:bookmarkStart w:id="74" w:name="_Toc1954568878"/>
      <w:bookmarkStart w:id="75" w:name="_Toc86442575"/>
      <w:r>
        <w:t>应急响应与弹性管理</w:t>
      </w:r>
      <w:bookmarkEnd w:id="74"/>
      <w:bookmarkEnd w:id="75"/>
    </w:p>
    <w:p w14:paraId="1D590ABE">
      <w:pPr>
        <w:pStyle w:val="11"/>
      </w:pPr>
      <w:r>
        <w:t>针对恶劣天气，平台接入气象数据，自动调整VRP算法参数（如下调车速、规避积水路段）。针对节假日高峰，启动跨区域协同模式，打破车队行政壁垒，统一调配全公司运力支援高负荷区域。</w:t>
      </w:r>
    </w:p>
    <w:p w14:paraId="2C801F04">
      <w:pPr>
        <w:pStyle w:val="2"/>
        <w:keepNext/>
        <w:widowControl/>
        <w:numPr>
          <w:ilvl w:val="0"/>
          <w:numId w:val="1"/>
        </w:numPr>
        <w:ind w:left="0" w:leftChars="0" w:firstLine="0" w:firstLineChars="0"/>
      </w:pPr>
      <w:bookmarkStart w:id="76" w:name="_Toc1141412653"/>
      <w:bookmarkStart w:id="77" w:name="_Toc381784387"/>
      <w:r>
        <w:t>优化方案的实施保障与效果预估</w:t>
      </w:r>
      <w:bookmarkEnd w:id="76"/>
      <w:bookmarkEnd w:id="77"/>
    </w:p>
    <w:p w14:paraId="68C46AD5">
      <w:pPr>
        <w:pStyle w:val="3"/>
        <w:keepNext/>
        <w:widowControl/>
        <w:numPr>
          <w:ilvl w:val="0"/>
          <w:numId w:val="22"/>
        </w:numPr>
        <w:ind w:left="0" w:leftChars="0" w:firstLine="0" w:firstLineChars="0"/>
      </w:pPr>
      <w:bookmarkStart w:id="78" w:name="_Toc251040320"/>
      <w:bookmarkStart w:id="79" w:name="_Toc2116538720"/>
      <w:r>
        <w:t>实施保障</w:t>
      </w:r>
      <w:bookmarkEnd w:id="78"/>
      <w:bookmarkEnd w:id="79"/>
    </w:p>
    <w:p w14:paraId="2A65A01A">
      <w:pPr>
        <w:pStyle w:val="11"/>
      </w:pPr>
      <w:r>
        <w:t>组织保障：成立直属总部的“智慧运营调度中心”，赋予其跨区域调动权与绩效否决权，实现扁平化指挥。</w:t>
      </w:r>
    </w:p>
    <w:p w14:paraId="380C1090">
      <w:pPr>
        <w:pStyle w:val="11"/>
      </w:pPr>
      <w:r>
        <w:t>制度保障：发布《智慧转运标准化作业手册 (SOP）》，将电子围栏、动态调度等规则制度化。</w:t>
      </w:r>
    </w:p>
    <w:p w14:paraId="2C1BBEF3">
      <w:pPr>
        <w:pStyle w:val="11"/>
      </w:pPr>
      <w:r>
        <w:t>人才保障：开展全员数字化培训，提升管理层的数据决策能力与司机的系统操作水平。</w:t>
      </w:r>
    </w:p>
    <w:p w14:paraId="1A4E663A">
      <w:pPr>
        <w:pStyle w:val="3"/>
        <w:keepNext/>
        <w:widowControl/>
        <w:numPr>
          <w:ilvl w:val="0"/>
          <w:numId w:val="22"/>
        </w:numPr>
        <w:ind w:left="0" w:leftChars="0" w:firstLine="0" w:firstLineChars="0"/>
      </w:pPr>
      <w:bookmarkStart w:id="80" w:name="_Toc1747138132"/>
      <w:bookmarkStart w:id="81" w:name="_Toc1576775532"/>
      <w:r>
        <w:t>效果评估：基于“历史基准—模拟运行”的比较分析</w:t>
      </w:r>
      <w:bookmarkEnd w:id="80"/>
      <w:bookmarkEnd w:id="81"/>
    </w:p>
    <w:p w14:paraId="404494A9">
      <w:pPr>
        <w:pStyle w:val="11"/>
      </w:pPr>
      <w:r>
        <w:t>为了科学评估优化方案的有效性，本研究摒弃简单的“前后时间段对比”，采用**“反事实模拟（Counterfactual Simulation）”**的方法。即：保持2024年第四季度（Q4）的实际业务需求（垃圾产生量、站点分布）不变，将原有的“固定排班逻辑”替换为本研究提出的“动态调度算法”，在平台沙箱环境中进行全量数据回测。</w:t>
      </w:r>
    </w:p>
    <w:p w14:paraId="196FDD13">
      <w:pPr>
        <w:pStyle w:val="43"/>
      </w:pPr>
      <w:r>
        <w:t>5-1 运营效率优化前后对比分析表 (N=45辆）</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12"/>
        <w:gridCol w:w="1319"/>
        <w:gridCol w:w="1409"/>
        <w:gridCol w:w="1409"/>
        <w:gridCol w:w="1308"/>
        <w:gridCol w:w="2449"/>
      </w:tblGrid>
      <w:tr w14:paraId="61E36465">
        <w:tc>
          <w:tcPr>
            <w:tcW w:w="46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08BC77E">
            <w:pPr>
              <w:pStyle w:val="41"/>
              <w:bidi w:val="0"/>
            </w:pPr>
            <w:r>
              <w:t>一级指标</w:t>
            </w:r>
          </w:p>
        </w:tc>
        <w:tc>
          <w:tcPr>
            <w:tcW w:w="757"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9542227">
            <w:pPr>
              <w:pStyle w:val="41"/>
              <w:bidi w:val="0"/>
            </w:pPr>
            <w:r>
              <w:t>二级关键指标 (KPI)</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223BC76">
            <w:pPr>
              <w:pStyle w:val="41"/>
              <w:bidi w:val="0"/>
            </w:pPr>
            <w:r>
              <w:t xml:space="preserve">2024 Q2 </w:t>
            </w:r>
            <w:r>
              <w:rPr>
                <w:rFonts w:hint="eastAsia"/>
                <w:lang w:eastAsia="zh-CN"/>
              </w:rPr>
              <w:t>（</w:t>
            </w:r>
            <w:r>
              <w:t>基准实测值</w:t>
            </w:r>
            <w:r>
              <w:rPr>
                <w:rFonts w:hint="eastAsia"/>
                <w:lang w:eastAsia="zh-CN"/>
              </w:rPr>
              <w:t>）</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03D5E34">
            <w:pPr>
              <w:pStyle w:val="41"/>
              <w:bidi w:val="0"/>
            </w:pPr>
            <w:r>
              <w:t xml:space="preserve">2024 Q4 </w:t>
            </w:r>
            <w:r>
              <w:rPr>
                <w:rFonts w:hint="eastAsia"/>
                <w:lang w:eastAsia="zh-CN"/>
              </w:rPr>
              <w:t>（</w:t>
            </w:r>
            <w:r>
              <w:t>优化模拟值</w:t>
            </w:r>
            <w:r>
              <w:rPr>
                <w:rFonts w:hint="eastAsia"/>
                <w:lang w:eastAsia="zh-CN"/>
              </w:rPr>
              <w:t>）</w:t>
            </w:r>
          </w:p>
        </w:tc>
        <w:tc>
          <w:tcPr>
            <w:tcW w:w="751"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C3FBD5C">
            <w:pPr>
              <w:pStyle w:val="41"/>
              <w:bidi w:val="0"/>
            </w:pPr>
            <w:r>
              <w:t>变动幅度 (Δ)</w:t>
            </w:r>
          </w:p>
        </w:tc>
        <w:tc>
          <w:tcPr>
            <w:tcW w:w="140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F9398DD">
            <w:pPr>
              <w:pStyle w:val="41"/>
              <w:bidi w:val="0"/>
            </w:pPr>
            <w:r>
              <w:t>优化效果解读</w:t>
            </w:r>
          </w:p>
        </w:tc>
      </w:tr>
      <w:tr w14:paraId="526A29AB">
        <w:tc>
          <w:tcPr>
            <w:tcW w:w="46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47D928A">
            <w:pPr>
              <w:pStyle w:val="41"/>
              <w:bidi w:val="0"/>
            </w:pPr>
            <w:r>
              <w:t>资源效率</w:t>
            </w:r>
          </w:p>
        </w:tc>
        <w:tc>
          <w:tcPr>
            <w:tcW w:w="757"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EB73662">
            <w:pPr>
              <w:pStyle w:val="41"/>
              <w:bidi w:val="0"/>
            </w:pPr>
            <w:r>
              <w:t>平均满载率</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493FB21">
            <w:pPr>
              <w:pStyle w:val="41"/>
              <w:bidi w:val="0"/>
            </w:pPr>
            <w:r>
              <w:t>71.5%</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642E959">
            <w:pPr>
              <w:pStyle w:val="41"/>
              <w:bidi w:val="0"/>
            </w:pPr>
            <w:r>
              <w:t>86.8%</w:t>
            </w:r>
          </w:p>
        </w:tc>
        <w:tc>
          <w:tcPr>
            <w:tcW w:w="751"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C5A3043">
            <w:pPr>
              <w:pStyle w:val="41"/>
              <w:bidi w:val="0"/>
            </w:pPr>
            <w:r>
              <w:t>+21.4%</w:t>
            </w:r>
          </w:p>
        </w:tc>
        <w:tc>
          <w:tcPr>
            <w:tcW w:w="140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C1E13E9">
            <w:pPr>
              <w:pStyle w:val="41"/>
              <w:bidi w:val="0"/>
            </w:pPr>
            <w:r>
              <w:t>动态调度消除了“低谷期空转”现象，运力匹配度显著提升。</w:t>
            </w:r>
          </w:p>
        </w:tc>
      </w:tr>
      <w:tr w14:paraId="73A42791">
        <w:tc>
          <w:tcPr>
            <w:tcW w:w="46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3C3D97F">
            <w:pPr>
              <w:pStyle w:val="41"/>
              <w:bidi w:val="0"/>
            </w:pPr>
            <w:r>
              <w:t>成本效率</w:t>
            </w:r>
          </w:p>
        </w:tc>
        <w:tc>
          <w:tcPr>
            <w:tcW w:w="757"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159AA07">
            <w:pPr>
              <w:pStyle w:val="41"/>
              <w:bidi w:val="0"/>
            </w:pPr>
            <w:r>
              <w:t>单吨燃油成本</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F61132F">
            <w:pPr>
              <w:pStyle w:val="41"/>
              <w:bidi w:val="0"/>
            </w:pPr>
            <w:r>
              <w:t>12.8 元/吨</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0A69F92">
            <w:pPr>
              <w:pStyle w:val="41"/>
              <w:bidi w:val="0"/>
            </w:pPr>
            <w:r>
              <w:t>10.9 元/吨</w:t>
            </w:r>
          </w:p>
        </w:tc>
        <w:tc>
          <w:tcPr>
            <w:tcW w:w="751"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51A25DE">
            <w:pPr>
              <w:pStyle w:val="41"/>
              <w:bidi w:val="0"/>
            </w:pPr>
            <w:r>
              <w:t>-14.8%</w:t>
            </w:r>
          </w:p>
        </w:tc>
        <w:tc>
          <w:tcPr>
            <w:tcW w:w="140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C6FCAED">
            <w:pPr>
              <w:pStyle w:val="41"/>
              <w:bidi w:val="0"/>
            </w:pPr>
            <w:r>
              <w:t>路径优化减少了怠速与绕路，FWD模型压降了单位能耗。</w:t>
            </w:r>
          </w:p>
        </w:tc>
      </w:tr>
      <w:tr w14:paraId="2EAC097B">
        <w:tc>
          <w:tcPr>
            <w:tcW w:w="46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16A4AA3">
            <w:pPr>
              <w:pStyle w:val="41"/>
              <w:bidi w:val="0"/>
            </w:pPr>
            <w:r>
              <w:t>合规性</w:t>
            </w:r>
          </w:p>
        </w:tc>
        <w:tc>
          <w:tcPr>
            <w:tcW w:w="757"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CAB6DC4">
            <w:pPr>
              <w:pStyle w:val="41"/>
              <w:bidi w:val="0"/>
            </w:pPr>
            <w:r>
              <w:t>单车日均无效里程</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52F2820">
            <w:pPr>
              <w:pStyle w:val="41"/>
              <w:bidi w:val="0"/>
            </w:pPr>
            <w:r>
              <w:t>18.5 km</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F962520">
            <w:pPr>
              <w:pStyle w:val="41"/>
              <w:bidi w:val="0"/>
            </w:pPr>
            <w:r>
              <w:t>4.2 km</w:t>
            </w:r>
          </w:p>
        </w:tc>
        <w:tc>
          <w:tcPr>
            <w:tcW w:w="751"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7932162">
            <w:pPr>
              <w:pStyle w:val="41"/>
              <w:bidi w:val="0"/>
            </w:pPr>
            <w:r>
              <w:t>-77.3%</w:t>
            </w:r>
          </w:p>
        </w:tc>
        <w:tc>
          <w:tcPr>
            <w:tcW w:w="140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819DF0F">
            <w:pPr>
              <w:pStyle w:val="41"/>
              <w:bidi w:val="0"/>
            </w:pPr>
            <w:r>
              <w:t>电子围栏与异常轨迹闭环管理有效约束了驾驶员私事绕路行为。</w:t>
            </w:r>
          </w:p>
        </w:tc>
      </w:tr>
      <w:tr w14:paraId="7C0C1F52">
        <w:tc>
          <w:tcPr>
            <w:tcW w:w="46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DB6D13E">
            <w:pPr>
              <w:pStyle w:val="41"/>
              <w:bidi w:val="0"/>
            </w:pPr>
            <w:r>
              <w:t>时效性</w:t>
            </w:r>
          </w:p>
        </w:tc>
        <w:tc>
          <w:tcPr>
            <w:tcW w:w="757"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5BDF992">
            <w:pPr>
              <w:pStyle w:val="41"/>
              <w:bidi w:val="0"/>
            </w:pPr>
            <w:r>
              <w:t>满溢响应平均时长</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C93C9A7">
            <w:pPr>
              <w:pStyle w:val="41"/>
              <w:bidi w:val="0"/>
            </w:pPr>
            <w:r>
              <w:t>45.0 min</w:t>
            </w:r>
          </w:p>
        </w:tc>
        <w:tc>
          <w:tcPr>
            <w:tcW w:w="80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8B8FCCE">
            <w:pPr>
              <w:pStyle w:val="41"/>
              <w:bidi w:val="0"/>
            </w:pPr>
            <w:r>
              <w:t>18.5 min</w:t>
            </w:r>
          </w:p>
        </w:tc>
        <w:tc>
          <w:tcPr>
            <w:tcW w:w="751"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CD0E7AD">
            <w:pPr>
              <w:pStyle w:val="41"/>
              <w:bidi w:val="0"/>
            </w:pPr>
            <w:r>
              <w:t>-58.9%</w:t>
            </w:r>
          </w:p>
        </w:tc>
        <w:tc>
          <w:tcPr>
            <w:tcW w:w="1406"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5E878FA">
            <w:pPr>
              <w:pStyle w:val="41"/>
              <w:bidi w:val="0"/>
            </w:pPr>
            <w:r>
              <w:t>从“人工派单”转为“系统自动触发”，大幅缩短了决策滞后时间。</w:t>
            </w:r>
          </w:p>
        </w:tc>
      </w:tr>
    </w:tbl>
    <w:p w14:paraId="020764AA">
      <w:pPr>
        <w:pStyle w:val="11"/>
      </w:pPr>
      <w:r>
        <w:t>数据分析结论： 模拟结果显示，在相同的业务量下，优化后的调度模式展现出显著的**“规模经济效应”**。特别是单车日均无效里程的大幅下降（-77.3%），直接验证了流程再造（BPR）中“消除非增值环节”理论的有效性。</w:t>
      </w:r>
    </w:p>
    <w:p w14:paraId="5E5082EE">
      <w:pPr>
        <w:pStyle w:val="11"/>
      </w:pPr>
      <w:r>
        <w:t>管理变革不仅要看效率，更要算“经济账”。本节引入投资回报率（ROI）模型，综合考量优化方案带来的直接收益与实施成本。预期年度收益 ($R$）：燃油节约收益： 基于模拟数据，单吨成本下降 1.9 元，按年转运量 46 万吨（2024年预估）计算，预计年节约燃油费约 87.4 万元。人力与运维降本： 效率提升预计可减少临时外租车辆频次及加班工时费，预估年节约 35.0 万元。合计年度收益 ($R$) ≈ 122.4 万元。</w:t>
      </w:r>
    </w:p>
    <w:p w14:paraId="119593DD">
      <w:pPr>
        <w:pStyle w:val="3"/>
        <w:keepNext/>
        <w:widowControl/>
        <w:numPr>
          <w:ilvl w:val="0"/>
          <w:numId w:val="22"/>
        </w:numPr>
        <w:ind w:left="0" w:leftChars="0" w:firstLine="0" w:firstLineChars="0"/>
      </w:pPr>
      <w:bookmarkStart w:id="82" w:name="_Toc918162344"/>
      <w:bookmarkStart w:id="83" w:name="_Toc1606679093"/>
      <w:r>
        <w:t>社会与环境效益</w:t>
      </w:r>
      <w:bookmarkEnd w:id="82"/>
      <w:bookmarkEnd w:id="83"/>
    </w:p>
    <w:p w14:paraId="4E214D2D">
      <w:pPr>
        <w:pStyle w:val="11"/>
      </w:pPr>
      <w:r>
        <w:t>预计全年减少柴油消耗带来的碳减排量约600吨，积极响应国家“双碳”目标。同时，满溢响应时间的缩短将使居民关于异味的投诉率下降约40%，显著提升社会满意度。</w:t>
      </w:r>
    </w:p>
    <w:p w14:paraId="167676F7">
      <w:pPr>
        <w:pStyle w:val="2"/>
        <w:keepNext/>
        <w:widowControl/>
        <w:numPr>
          <w:ilvl w:val="0"/>
          <w:numId w:val="1"/>
        </w:numPr>
        <w:ind w:left="0" w:leftChars="0" w:firstLine="0" w:firstLineChars="0"/>
      </w:pPr>
      <w:bookmarkStart w:id="84" w:name="_Toc1884511913"/>
      <w:bookmarkStart w:id="85" w:name="_Toc996138673"/>
      <w:r>
        <w:t>结论与展望</w:t>
      </w:r>
      <w:bookmarkEnd w:id="84"/>
      <w:bookmarkEnd w:id="85"/>
    </w:p>
    <w:p w14:paraId="3D7E3B69">
      <w:pPr>
        <w:pStyle w:val="3"/>
        <w:keepNext/>
        <w:widowControl/>
        <w:numPr>
          <w:ilvl w:val="0"/>
          <w:numId w:val="23"/>
        </w:numPr>
        <w:ind w:left="0" w:leftChars="0" w:firstLine="0" w:firstLineChars="0"/>
      </w:pPr>
      <w:bookmarkStart w:id="86" w:name="_Toc1902895835"/>
      <w:bookmarkStart w:id="87" w:name="_Toc320165099"/>
      <w:r>
        <w:t>研究结论</w:t>
      </w:r>
      <w:bookmarkEnd w:id="86"/>
      <w:bookmarkEnd w:id="87"/>
    </w:p>
    <w:p w14:paraId="5E2443AD">
      <w:pPr>
        <w:pStyle w:val="11"/>
      </w:pPr>
      <w:r>
        <w:t>流程重构是关键：智慧环卫的效能释放依赖于管理流程与技术逻辑的深度适配。</w:t>
      </w:r>
    </w:p>
    <w:p w14:paraId="09816D46">
      <w:pPr>
        <w:pStyle w:val="11"/>
      </w:pPr>
      <w:r>
        <w:t>动态调度是最优解：基于数据的动态调度模型能有效解决供需错配矛盾。</w:t>
      </w:r>
    </w:p>
    <w:p w14:paraId="038B6ED3">
      <w:pPr>
        <w:pStyle w:val="11"/>
      </w:pPr>
      <w:r>
        <w:t>利益共同体是核心：公平的数据化绩效体系能实现人机协同，消除“人对抗系统”现象。</w:t>
      </w:r>
    </w:p>
    <w:p w14:paraId="0F899B73">
      <w:pPr>
        <w:pStyle w:val="3"/>
        <w:keepNext/>
        <w:widowControl/>
        <w:numPr>
          <w:ilvl w:val="0"/>
          <w:numId w:val="23"/>
        </w:numPr>
        <w:ind w:left="0" w:leftChars="0" w:firstLine="0" w:firstLineChars="0"/>
      </w:pPr>
      <w:bookmarkStart w:id="88" w:name="_Toc1568283158"/>
      <w:bookmarkStart w:id="89" w:name="_Toc1643827721"/>
      <w:r>
        <w:t>研究局限性</w:t>
      </w:r>
      <w:bookmarkEnd w:id="88"/>
      <w:bookmarkEnd w:id="89"/>
    </w:p>
    <w:p w14:paraId="5C0999D9">
      <w:pPr>
        <w:pStyle w:val="11"/>
      </w:pPr>
      <w:r>
        <w:t>本研究仅基于单一企业的一年期数据，且未进行复杂的数学建模仿真。</w:t>
      </w:r>
    </w:p>
    <w:p w14:paraId="67B62B91">
      <w:pPr>
        <w:pStyle w:val="3"/>
        <w:keepNext/>
        <w:widowControl/>
        <w:numPr>
          <w:ilvl w:val="0"/>
          <w:numId w:val="23"/>
        </w:numPr>
        <w:ind w:left="0" w:leftChars="0" w:firstLine="0" w:firstLineChars="0"/>
      </w:pPr>
      <w:bookmarkStart w:id="90" w:name="_Toc2068236875"/>
      <w:bookmarkStart w:id="91" w:name="_Toc435388192"/>
      <w:r>
        <w:t>未来展望</w:t>
      </w:r>
      <w:bookmarkEnd w:id="90"/>
      <w:bookmarkEnd w:id="91"/>
    </w:p>
    <w:p w14:paraId="5E2159E3">
      <w:pPr>
        <w:pStyle w:val="11"/>
      </w:pPr>
      <w:r>
        <w:t>未来研究可进一步探讨AI在自动驾驶转运中的应用，以及环卫碳减排参与碳交易市场的商业模式创新。</w:t>
      </w:r>
    </w:p>
    <w:p w14:paraId="3462B7FD">
      <w:pPr>
        <w:pStyle w:val="2"/>
        <w:keepNext/>
        <w:widowControl/>
        <w:numPr>
          <w:ilvl w:val="0"/>
          <w:numId w:val="1"/>
        </w:numPr>
        <w:ind w:left="0" w:leftChars="0" w:firstLine="0" w:firstLineChars="0"/>
      </w:pPr>
      <w:bookmarkStart w:id="92" w:name="_Toc1686847783"/>
      <w:bookmarkStart w:id="93" w:name="_Toc1092557615"/>
      <w:r>
        <w:t>案例启示与推广价值</w:t>
      </w:r>
      <w:bookmarkEnd w:id="92"/>
      <w:bookmarkEnd w:id="93"/>
    </w:p>
    <w:p w14:paraId="4D458A88">
      <w:pPr>
        <w:pStyle w:val="3"/>
        <w:keepNext/>
        <w:widowControl/>
        <w:numPr>
          <w:ilvl w:val="0"/>
          <w:numId w:val="24"/>
        </w:numPr>
        <w:ind w:left="0" w:leftChars="0" w:firstLine="0" w:firstLineChars="0"/>
      </w:pPr>
      <w:bookmarkStart w:id="94" w:name="_Toc1630653455"/>
      <w:bookmarkStart w:id="95" w:name="_Toc1919064834"/>
      <w:r>
        <w:t>“辉达模式”的理论抽象：PPE效率释放模型</w:t>
      </w:r>
      <w:bookmarkEnd w:id="94"/>
      <w:bookmarkEnd w:id="95"/>
    </w:p>
    <w:p w14:paraId="3C3F3616">
      <w:pPr>
        <w:pStyle w:val="11"/>
      </w:pPr>
      <w:r>
        <w:t>通过对辉达公司优化路径的总结，本研究将其抽象为 “平台（Platform）—流程（Process）—激励（Empowerment）” (PPE) 三位一体效率释放模型。</w:t>
      </w:r>
    </w:p>
    <w:p w14:paraId="54091BF2">
      <w:pPr>
        <w:pStyle w:val="11"/>
      </w:pPr>
      <w:r>
        <w:t>P1 平台层（基石）：必须具备全要素感知能力（载重+油耗），而非简单的GPS定位。</w:t>
      </w:r>
    </w:p>
    <w:p w14:paraId="2D877C73">
      <w:pPr>
        <w:pStyle w:val="11"/>
      </w:pPr>
      <w:r>
        <w:t>P2 流程层（核心）：必须具备动态响应能力，打破“固定排班”，建立“数据触发”的柔性作业链。</w:t>
      </w:r>
    </w:p>
    <w:p w14:paraId="37A781E6">
      <w:pPr>
        <w:pStyle w:val="11"/>
      </w:pPr>
      <w:r>
        <w:t>E 激励层（动力）：必须具备利益兼容能力，通过数据公平性让一线员工分享效率红利。</w:t>
      </w:r>
    </w:p>
    <w:p w14:paraId="421FFD35">
      <w:pPr>
        <w:pStyle w:val="3"/>
        <w:keepNext/>
        <w:widowControl/>
        <w:numPr>
          <w:ilvl w:val="0"/>
          <w:numId w:val="24"/>
        </w:numPr>
        <w:ind w:left="0" w:leftChars="0" w:firstLine="0" w:firstLineChars="0"/>
      </w:pPr>
      <w:bookmarkStart w:id="96" w:name="_Toc665770745"/>
      <w:bookmarkStart w:id="97" w:name="_Toc206315171"/>
      <w:r>
        <w:t>推广的适用条件与边界</w:t>
      </w:r>
      <w:bookmarkEnd w:id="96"/>
      <w:bookmarkEnd w:id="97"/>
    </w:p>
    <w:p w14:paraId="01E975E3">
      <w:pPr>
        <w:pStyle w:val="11"/>
      </w:pPr>
      <w:r>
        <w:t>适用企业：中等规模（30辆车以上）、已完成基础信息化建设但陷入“数据孤岛”的企业。</w:t>
      </w:r>
    </w:p>
    <w:p w14:paraId="1359ACC5">
      <w:pPr>
        <w:pStyle w:val="11"/>
      </w:pPr>
      <w:r>
        <w:t>不适用情形：极小规模车队（人工管理成本更低）或受极强行政干预（刚性作业时间）的企业。</w:t>
      </w:r>
    </w:p>
    <w:p w14:paraId="6D9B769D">
      <w:pPr>
        <w:pStyle w:val="3"/>
        <w:keepNext/>
        <w:widowControl/>
        <w:numPr>
          <w:ilvl w:val="0"/>
          <w:numId w:val="24"/>
        </w:numPr>
        <w:ind w:left="0" w:leftChars="0" w:firstLine="0" w:firstLineChars="0"/>
      </w:pPr>
      <w:bookmarkStart w:id="98" w:name="_Toc1219110345"/>
      <w:bookmarkStart w:id="99" w:name="_Toc1500472739"/>
      <w:r>
        <w:t>对行业监管的政策启示</w:t>
      </w:r>
      <w:bookmarkEnd w:id="98"/>
      <w:bookmarkEnd w:id="99"/>
    </w:p>
    <w:p w14:paraId="143D1270">
      <w:pPr>
        <w:pStyle w:val="11"/>
      </w:pPr>
      <w:r>
        <w:t>监管部门应从“人盯人”转向“数治数”，通过对接企业平台数据考核服务质量；从事后处罚转向过程预警，建立政企数据共享机制，实现跨区域运力协同。</w:t>
      </w:r>
    </w:p>
    <w:p w14:paraId="7F2DBE45">
      <w:pPr>
        <w:ind w:firstLine="488" w:firstLineChars="200"/>
      </w:pPr>
      <w:r>
        <w:br w:type="page"/>
      </w:r>
    </w:p>
    <w:p w14:paraId="08DC5971">
      <w:pPr>
        <w:pStyle w:val="36"/>
        <w:keepNext/>
        <w:pageBreakBefore/>
        <w:widowControl/>
      </w:pPr>
      <w:bookmarkStart w:id="100" w:name="_Toc446092388"/>
      <w:bookmarkStart w:id="101" w:name="_Toc544857652"/>
      <w:r>
        <w:t>参考文献</w:t>
      </w:r>
      <w:bookmarkEnd w:id="100"/>
      <w:bookmarkEnd w:id="101"/>
    </w:p>
    <w:p w14:paraId="314ABA24">
      <w:pPr>
        <w:pStyle w:val="35"/>
        <w:numPr>
          <w:ilvl w:val="0"/>
          <w:numId w:val="25"/>
        </w:numPr>
        <w:tabs>
          <w:tab w:val="left" w:pos="975"/>
          <w:tab w:val="clear" w:pos="210"/>
          <w:tab w:val="clear" w:pos="0"/>
        </w:tabs>
        <w:ind w:left="1502" w:leftChars="0" w:hanging="527" w:firstLineChars="0"/>
      </w:pPr>
      <w:r>
        <w:t>英文参考文献</w:t>
      </w:r>
    </w:p>
    <w:p w14:paraId="290A89D0">
      <w:pPr>
        <w:pStyle w:val="35"/>
        <w:numPr>
          <w:ilvl w:val="0"/>
          <w:numId w:val="26"/>
        </w:numPr>
        <w:tabs>
          <w:tab w:val="left" w:pos="975"/>
          <w:tab w:val="clear" w:pos="210"/>
          <w:tab w:val="clear" w:pos="0"/>
        </w:tabs>
        <w:ind w:left="1502" w:leftChars="0" w:hanging="527" w:firstLineChars="0"/>
      </w:pPr>
      <w:r>
        <w:t>Esmaeilian B, Wang B, Lewis K, et al. The future of waste management in smart and sustainable cities: A review and concept paper[J]. Waste Management, 2018, 81: 177-195.</w:t>
      </w:r>
    </w:p>
    <w:p w14:paraId="162696BD">
      <w:pPr>
        <w:pStyle w:val="35"/>
        <w:numPr>
          <w:ilvl w:val="0"/>
          <w:numId w:val="26"/>
        </w:numPr>
        <w:tabs>
          <w:tab w:val="left" w:pos="975"/>
          <w:tab w:val="clear" w:pos="210"/>
          <w:tab w:val="clear" w:pos="0"/>
        </w:tabs>
        <w:ind w:left="1502" w:leftChars="0" w:hanging="527" w:firstLineChars="0"/>
      </w:pPr>
      <w:r>
        <w:t>Tirkolaee E B, Goli A, Ghasemi P, et al. A robust green location-allocation-inventory problem to design an urban waste management system under uncertainty[J]. Annals of Operations Research, 2022, 310(1): 655-676.</w:t>
      </w:r>
    </w:p>
    <w:p w14:paraId="60552CC0">
      <w:pPr>
        <w:pStyle w:val="35"/>
        <w:numPr>
          <w:ilvl w:val="0"/>
          <w:numId w:val="26"/>
        </w:numPr>
        <w:tabs>
          <w:tab w:val="left" w:pos="975"/>
          <w:tab w:val="clear" w:pos="210"/>
          <w:tab w:val="clear" w:pos="0"/>
        </w:tabs>
        <w:ind w:left="1502" w:leftChars="0" w:hanging="527" w:firstLineChars="0"/>
      </w:pPr>
      <w:r>
        <w:t>Pardini K, Rodrigues J J, Diallo O, et al. A smart waste management solution centered on IoT and machine learning strategies[J]. Journal of Ambient Intelligence and Humanized Computing, 2023, 14(6): 7063-7076.</w:t>
      </w:r>
    </w:p>
    <w:p w14:paraId="33CD5F40">
      <w:pPr>
        <w:pStyle w:val="35"/>
        <w:numPr>
          <w:ilvl w:val="0"/>
          <w:numId w:val="26"/>
        </w:numPr>
        <w:tabs>
          <w:tab w:val="left" w:pos="975"/>
          <w:tab w:val="clear" w:pos="210"/>
          <w:tab w:val="clear" w:pos="0"/>
        </w:tabs>
        <w:ind w:left="1502" w:leftChars="0" w:hanging="527" w:firstLineChars="0"/>
      </w:pPr>
      <w:r>
        <w:t>Anagnostopoulos T, Zaslavsky A, Medvedev A. Robust waste collection exploiting cost efficiency of IoT potentiality in Smart Cities[J]. Journal of Network and Computer Applications, 2021, 192: 103178.</w:t>
      </w:r>
    </w:p>
    <w:p w14:paraId="3EA9D79C">
      <w:pPr>
        <w:pStyle w:val="35"/>
        <w:numPr>
          <w:ilvl w:val="0"/>
          <w:numId w:val="26"/>
        </w:numPr>
        <w:tabs>
          <w:tab w:val="left" w:pos="975"/>
          <w:tab w:val="clear" w:pos="210"/>
          <w:tab w:val="clear" w:pos="0"/>
        </w:tabs>
        <w:ind w:left="1502" w:leftChars="0" w:hanging="527" w:firstLineChars="0"/>
      </w:pPr>
      <w:r>
        <w:t>Cimen O A, Baskan O. Bio-inspired algorithms for vehicle routing problem in solid waste collection: A literature review[J]. Journal of Cleaner Production, 2022, 345: 131139.</w:t>
      </w:r>
    </w:p>
    <w:p w14:paraId="22F45687">
      <w:pPr>
        <w:pStyle w:val="35"/>
        <w:numPr>
          <w:ilvl w:val="0"/>
          <w:numId w:val="26"/>
        </w:numPr>
        <w:tabs>
          <w:tab w:val="left" w:pos="975"/>
          <w:tab w:val="clear" w:pos="210"/>
          <w:tab w:val="clear" w:pos="0"/>
        </w:tabs>
        <w:ind w:left="1502" w:leftChars="0" w:hanging="527" w:firstLineChars="0"/>
      </w:pPr>
      <w:r>
        <w:t>Akhtar M, Hannan M A, Begum R A, et al. Solid waste management in smart cities using IoT: Challenges and solutions[J]. Environmental Monitoring and Assessment, 2022, 194(12): 890.</w:t>
      </w:r>
    </w:p>
    <w:p w14:paraId="05FCA346">
      <w:pPr>
        <w:pStyle w:val="35"/>
        <w:numPr>
          <w:ilvl w:val="0"/>
          <w:numId w:val="26"/>
        </w:numPr>
        <w:tabs>
          <w:tab w:val="left" w:pos="975"/>
          <w:tab w:val="clear" w:pos="210"/>
          <w:tab w:val="clear" w:pos="0"/>
        </w:tabs>
        <w:ind w:left="1502" w:leftChars="0" w:hanging="527" w:firstLineChars="0"/>
      </w:pPr>
      <w:r>
        <w:t>Zhang Y, Huang M, Li X. Dynamic vehicle routing problem for waste collection with time windows and real-time demands[J]. Computers &amp; Industrial Engineering, 2023, 178: 109121.</w:t>
      </w:r>
    </w:p>
    <w:p w14:paraId="413E5452">
      <w:pPr>
        <w:pStyle w:val="35"/>
        <w:numPr>
          <w:ilvl w:val="0"/>
          <w:numId w:val="26"/>
        </w:numPr>
        <w:tabs>
          <w:tab w:val="left" w:pos="975"/>
          <w:tab w:val="clear" w:pos="210"/>
          <w:tab w:val="clear" w:pos="0"/>
        </w:tabs>
        <w:ind w:left="1502" w:leftChars="0" w:hanging="527" w:firstLineChars="0"/>
      </w:pPr>
      <w:r>
        <w:t>Sulemana A, Donkor E A, Forkuor G, et al. Optimal routing of municipal solid waste collection trucks: A case study of Sunyani Municipality, Ghana[J]. Scientific African, 2021, 13: e00868.</w:t>
      </w:r>
    </w:p>
    <w:p w14:paraId="393CCAE0">
      <w:pPr>
        <w:pStyle w:val="35"/>
        <w:numPr>
          <w:ilvl w:val="0"/>
          <w:numId w:val="26"/>
        </w:numPr>
        <w:tabs>
          <w:tab w:val="left" w:pos="975"/>
          <w:tab w:val="clear" w:pos="210"/>
          <w:tab w:val="clear" w:pos="0"/>
        </w:tabs>
        <w:ind w:left="1502" w:leftChars="0" w:hanging="527" w:firstLineChars="0"/>
      </w:pPr>
      <w:r>
        <w:t>Wu H, Tao F, Yang X. Digital Twin-driven smart supply chain and logistics management: A review[J]. International Journal of Production Research, 2024, 62(3): 1024-1045.</w:t>
      </w:r>
    </w:p>
    <w:p w14:paraId="7F451FAC">
      <w:pPr>
        <w:pStyle w:val="35"/>
        <w:numPr>
          <w:ilvl w:val="0"/>
          <w:numId w:val="26"/>
        </w:numPr>
        <w:tabs>
          <w:tab w:val="left" w:pos="975"/>
          <w:tab w:val="clear" w:pos="210"/>
          <w:tab w:val="clear" w:pos="0"/>
        </w:tabs>
        <w:ind w:left="1502" w:leftChars="0" w:hanging="527" w:firstLineChars="0"/>
      </w:pPr>
      <w:r>
        <w:t>Gupta P K, Shree V, Hiremath L, et al. The role of IoT and cloud computing in smart waste management system: A review[J]. Materials Today: Proceedings, 2022, 51: 2289-2294.</w:t>
      </w:r>
    </w:p>
    <w:p w14:paraId="1E1D8577">
      <w:pPr>
        <w:pStyle w:val="35"/>
        <w:numPr>
          <w:ilvl w:val="0"/>
          <w:numId w:val="25"/>
        </w:numPr>
        <w:tabs>
          <w:tab w:val="left" w:pos="975"/>
          <w:tab w:val="clear" w:pos="210"/>
          <w:tab w:val="clear" w:pos="0"/>
        </w:tabs>
        <w:ind w:left="1502" w:leftChars="0" w:hanging="527" w:firstLineChars="0"/>
      </w:pPr>
      <w:r>
        <w:t>中文参考文献</w:t>
      </w:r>
    </w:p>
    <w:p w14:paraId="5DA2AA45">
      <w:pPr>
        <w:pStyle w:val="35"/>
        <w:numPr>
          <w:ilvl w:val="0"/>
          <w:numId w:val="27"/>
        </w:numPr>
        <w:tabs>
          <w:tab w:val="left" w:pos="975"/>
          <w:tab w:val="clear" w:pos="210"/>
          <w:tab w:val="clear" w:pos="0"/>
        </w:tabs>
        <w:ind w:left="1502" w:leftChars="0" w:hanging="527" w:firstLineChars="0"/>
      </w:pPr>
      <w:r>
        <w:t>陈晓红, 李杨, 张超. 数字经济时代的管理变革与创新——基于业务流程再造(BPR)的视角[J]. 管理世界, 2022, 38(06): 18-35.</w:t>
      </w:r>
    </w:p>
    <w:p w14:paraId="57C6E719">
      <w:pPr>
        <w:pStyle w:val="35"/>
        <w:numPr>
          <w:ilvl w:val="0"/>
          <w:numId w:val="27"/>
        </w:numPr>
        <w:tabs>
          <w:tab w:val="left" w:pos="975"/>
          <w:tab w:val="clear" w:pos="210"/>
          <w:tab w:val="clear" w:pos="0"/>
        </w:tabs>
        <w:ind w:left="1502" w:leftChars="0" w:hanging="527" w:firstLineChars="0"/>
      </w:pPr>
      <w:r>
        <w:t>王建军, 刘畅. 基于物联网技术的智慧环卫管理平台设计与应用研究[J]. 环境卫生工程, 2023, 31(02): 78-83.</w:t>
      </w:r>
    </w:p>
    <w:p w14:paraId="1806A8D6">
      <w:pPr>
        <w:pStyle w:val="35"/>
        <w:numPr>
          <w:ilvl w:val="0"/>
          <w:numId w:val="27"/>
        </w:numPr>
        <w:tabs>
          <w:tab w:val="left" w:pos="975"/>
          <w:tab w:val="clear" w:pos="210"/>
          <w:tab w:val="clear" w:pos="0"/>
        </w:tabs>
        <w:ind w:left="1502" w:leftChars="0" w:hanging="527" w:firstLineChars="0"/>
      </w:pPr>
      <w:r>
        <w:t>张杰, 李华. “双碳”目标下城市生活垃圾收运系统碳排放测算与减排策略[J]. 环境科学与技术, 2022, 45(09): 215-222.</w:t>
      </w:r>
    </w:p>
    <w:p w14:paraId="75868897">
      <w:pPr>
        <w:pStyle w:val="35"/>
        <w:numPr>
          <w:ilvl w:val="0"/>
          <w:numId w:val="27"/>
        </w:numPr>
        <w:tabs>
          <w:tab w:val="left" w:pos="975"/>
          <w:tab w:val="clear" w:pos="210"/>
          <w:tab w:val="clear" w:pos="0"/>
        </w:tabs>
        <w:ind w:left="1502" w:leftChars="0" w:hanging="527" w:firstLineChars="0"/>
      </w:pPr>
      <w:r>
        <w:t>刘强, 孙伟. 基于改进蚁群算法的城市垃圾收运路径优化研究[J]. 运筹与管理, 2023, 32(04): 56-64.</w:t>
      </w:r>
    </w:p>
    <w:p w14:paraId="7D9CACFA">
      <w:pPr>
        <w:pStyle w:val="35"/>
        <w:numPr>
          <w:ilvl w:val="0"/>
          <w:numId w:val="27"/>
        </w:numPr>
        <w:tabs>
          <w:tab w:val="left" w:pos="975"/>
          <w:tab w:val="clear" w:pos="210"/>
          <w:tab w:val="clear" w:pos="0"/>
        </w:tabs>
        <w:ind w:left="1502" w:leftChars="0" w:hanging="527" w:firstLineChars="0"/>
      </w:pPr>
      <w:r>
        <w:t>赵敏, 吴迪. 数字化转型对物流企业运营效率的影响研究——基于动态能力的调节作用[J]. 商业经济与管理, 2024(01): 15-26.</w:t>
      </w:r>
    </w:p>
    <w:p w14:paraId="50F39CA8">
      <w:pPr>
        <w:pStyle w:val="35"/>
        <w:numPr>
          <w:ilvl w:val="0"/>
          <w:numId w:val="27"/>
        </w:numPr>
        <w:tabs>
          <w:tab w:val="left" w:pos="975"/>
          <w:tab w:val="clear" w:pos="210"/>
          <w:tab w:val="clear" w:pos="0"/>
        </w:tabs>
        <w:ind w:left="1502" w:leftChars="0" w:hanging="527" w:firstLineChars="0"/>
      </w:pPr>
      <w:r>
        <w:t>李国栋, 王海燕. 考虑交通拥堵的带时间窗城市垃圾收运车辆路径优化[J]. 工业工程与管理, 2021, 26(05): 123-131.</w:t>
      </w:r>
    </w:p>
    <w:p w14:paraId="201C947B">
      <w:pPr>
        <w:pStyle w:val="35"/>
        <w:numPr>
          <w:ilvl w:val="0"/>
          <w:numId w:val="27"/>
        </w:numPr>
        <w:tabs>
          <w:tab w:val="left" w:pos="975"/>
          <w:tab w:val="clear" w:pos="210"/>
          <w:tab w:val="clear" w:pos="0"/>
        </w:tabs>
        <w:ind w:left="1502" w:leftChars="0" w:hanging="527" w:firstLineChars="0"/>
      </w:pPr>
      <w:r>
        <w:t>陈丽, 黄宇. 基于大数据的城市智慧环卫监管体系构建研究[J]. 城市管理与科技, 2022, 24(03): 45-48.</w:t>
      </w:r>
    </w:p>
    <w:p w14:paraId="48B151DE">
      <w:pPr>
        <w:pStyle w:val="35"/>
        <w:numPr>
          <w:ilvl w:val="0"/>
          <w:numId w:val="27"/>
        </w:numPr>
        <w:tabs>
          <w:tab w:val="left" w:pos="975"/>
          <w:tab w:val="clear" w:pos="210"/>
          <w:tab w:val="clear" w:pos="0"/>
        </w:tabs>
        <w:ind w:left="1502" w:leftChars="0" w:hanging="527" w:firstLineChars="0"/>
      </w:pPr>
      <w:r>
        <w:t>周伟, 郑晓. 精细化管理视角下的环卫作业成本控制与绩效评价[J]. 财会通讯, 2023(16): 102-106.</w:t>
      </w:r>
    </w:p>
    <w:p w14:paraId="1171D2BC">
      <w:pPr>
        <w:pStyle w:val="35"/>
        <w:numPr>
          <w:ilvl w:val="0"/>
          <w:numId w:val="27"/>
        </w:numPr>
        <w:tabs>
          <w:tab w:val="left" w:pos="975"/>
          <w:tab w:val="clear" w:pos="210"/>
          <w:tab w:val="clear" w:pos="0"/>
        </w:tabs>
        <w:ind w:left="1502" w:leftChars="0" w:hanging="527" w:firstLineChars="0"/>
      </w:pPr>
      <w:r>
        <w:t>郭琳, 张涛. 基于VRP的合肥市生活垃圾分类收运路线优化设计[J]. 物流工程与管理, 2021, 43(08): 88-91.</w:t>
      </w:r>
    </w:p>
    <w:p w14:paraId="7F7E0E0A">
      <w:pPr>
        <w:pStyle w:val="35"/>
        <w:numPr>
          <w:ilvl w:val="0"/>
          <w:numId w:val="27"/>
        </w:numPr>
        <w:tabs>
          <w:tab w:val="left" w:pos="975"/>
          <w:tab w:val="clear" w:pos="210"/>
          <w:tab w:val="clear" w:pos="0"/>
        </w:tabs>
        <w:ind w:left="1502" w:leftChars="0" w:hanging="527" w:firstLineChars="0"/>
      </w:pPr>
      <w:r>
        <w:t>徐辉, 刘洋. 业务流程再造理论在企业数字化转型中的应用与反思[J]. 企业管理, 2022(11): 112-115.</w:t>
      </w:r>
    </w:p>
    <w:p w14:paraId="2580482B">
      <w:pPr>
        <w:pStyle w:val="35"/>
        <w:numPr>
          <w:ilvl w:val="0"/>
          <w:numId w:val="27"/>
        </w:numPr>
        <w:tabs>
          <w:tab w:val="left" w:pos="975"/>
          <w:tab w:val="clear" w:pos="210"/>
          <w:tab w:val="clear" w:pos="0"/>
        </w:tabs>
        <w:ind w:left="1502" w:leftChars="0" w:hanging="527" w:firstLineChars="0"/>
      </w:pPr>
      <w:r>
        <w:t>马云峰, 赵金楼. 突发公共卫生事件下医疗废物应急收运车辆调度优化[J]. 中国管理科学, 2022, 30(05): 145-156.</w:t>
      </w:r>
    </w:p>
    <w:p w14:paraId="0013F75C">
      <w:pPr>
        <w:pStyle w:val="35"/>
        <w:numPr>
          <w:ilvl w:val="0"/>
          <w:numId w:val="27"/>
        </w:numPr>
        <w:tabs>
          <w:tab w:val="left" w:pos="975"/>
          <w:tab w:val="clear" w:pos="210"/>
          <w:tab w:val="clear" w:pos="0"/>
        </w:tabs>
        <w:ind w:left="1502" w:leftChars="0" w:hanging="527" w:firstLineChars="0"/>
      </w:pPr>
      <w:r>
        <w:t>孙亮. 智慧城市背景下生活垃圾收运处理系统优化研究[D]. 北京交通大学, 2021.</w:t>
      </w:r>
    </w:p>
    <w:p w14:paraId="4E269777">
      <w:pPr>
        <w:pStyle w:val="35"/>
        <w:numPr>
          <w:ilvl w:val="0"/>
          <w:numId w:val="27"/>
        </w:numPr>
        <w:tabs>
          <w:tab w:val="left" w:pos="975"/>
          <w:tab w:val="clear" w:pos="210"/>
          <w:tab w:val="clear" w:pos="0"/>
        </w:tabs>
        <w:ind w:left="1502" w:leftChars="0" w:hanging="527" w:firstLineChars="0"/>
      </w:pPr>
      <w:r>
        <w:t>王芳, 李志强. 环卫服务市场化背景下的政府监管与企业运营效率分析[J]. 价格理论与实践, 2023(02): 168-171.</w:t>
      </w:r>
    </w:p>
    <w:p w14:paraId="1ED843F6">
      <w:pPr>
        <w:pStyle w:val="35"/>
        <w:numPr>
          <w:ilvl w:val="0"/>
          <w:numId w:val="27"/>
        </w:numPr>
        <w:tabs>
          <w:tab w:val="left" w:pos="975"/>
          <w:tab w:val="clear" w:pos="210"/>
          <w:tab w:val="clear" w:pos="0"/>
        </w:tabs>
        <w:ind w:left="1502" w:leftChars="0" w:hanging="527" w:firstLineChars="0"/>
      </w:pPr>
      <w:r>
        <w:t>杨洋, 刘建国. 基于多源数据融合的垃圾转运车辆驾驶行为评价模型研究[J]. 交通运输系统工程与信息, 2024, 24(01): 201-209.</w:t>
      </w:r>
    </w:p>
    <w:p w14:paraId="3E6D3408">
      <w:pPr>
        <w:pStyle w:val="35"/>
        <w:numPr>
          <w:ilvl w:val="0"/>
          <w:numId w:val="27"/>
        </w:numPr>
        <w:tabs>
          <w:tab w:val="left" w:pos="975"/>
          <w:tab w:val="clear" w:pos="210"/>
          <w:tab w:val="clear" w:pos="0"/>
        </w:tabs>
        <w:ind w:left="1502" w:leftChars="0" w:hanging="527" w:firstLineChars="0"/>
      </w:pPr>
      <w:r>
        <w:t>吴志军. 城市生活垃圾智慧收运系统关键技术与示范应用[J]. 建设科技, 2022(18): 34-37.</w:t>
      </w:r>
    </w:p>
    <w:p w14:paraId="71EB2EDE">
      <w:pPr>
        <w:pStyle w:val="35"/>
        <w:numPr>
          <w:ilvl w:val="0"/>
          <w:numId w:val="27"/>
        </w:numPr>
        <w:tabs>
          <w:tab w:val="left" w:pos="975"/>
          <w:tab w:val="clear" w:pos="210"/>
          <w:tab w:val="clear" w:pos="0"/>
        </w:tabs>
        <w:ind w:left="1502" w:leftChars="0" w:hanging="527" w:firstLineChars="0"/>
      </w:pPr>
      <w:r>
        <w:t>郑明, 何静. 考虑碳排放成本的城市冷链物流配送路径优化——兼论对垃圾转运的启示[J]. 技术经济与管理研究, 2021(09): 18-23.</w:t>
      </w:r>
    </w:p>
    <w:p w14:paraId="75E0B22D">
      <w:pPr>
        <w:pStyle w:val="35"/>
        <w:numPr>
          <w:ilvl w:val="0"/>
          <w:numId w:val="27"/>
        </w:numPr>
        <w:tabs>
          <w:tab w:val="left" w:pos="975"/>
          <w:tab w:val="clear" w:pos="210"/>
          <w:tab w:val="clear" w:pos="0"/>
        </w:tabs>
        <w:ind w:left="1502" w:leftChars="0" w:hanging="527" w:firstLineChars="0"/>
      </w:pPr>
      <w:r>
        <w:t>曹丽华. 智慧环卫云平台在城市环境治理中的应用实践——以合肥市为例[J]. 智能城市, 2023, 9(07): 56-58.</w:t>
      </w:r>
    </w:p>
    <w:p w14:paraId="52722CCA">
      <w:pPr>
        <w:pStyle w:val="35"/>
        <w:numPr>
          <w:ilvl w:val="0"/>
          <w:numId w:val="27"/>
        </w:numPr>
        <w:tabs>
          <w:tab w:val="left" w:pos="975"/>
          <w:tab w:val="clear" w:pos="210"/>
          <w:tab w:val="clear" w:pos="0"/>
        </w:tabs>
        <w:ind w:left="1502" w:leftChars="0" w:hanging="527" w:firstLineChars="0"/>
      </w:pPr>
      <w:r>
        <w:t>刘晓东. 基于GIS与物联网的垃圾收运智能调度系统设计[J]. 计算机测量与控制, 2022, 30(06): 210-215.</w:t>
      </w:r>
    </w:p>
    <w:p w14:paraId="2B465DB2">
      <w:pPr>
        <w:pStyle w:val="35"/>
        <w:numPr>
          <w:ilvl w:val="0"/>
          <w:numId w:val="27"/>
        </w:numPr>
        <w:tabs>
          <w:tab w:val="left" w:pos="975"/>
          <w:tab w:val="clear" w:pos="210"/>
          <w:tab w:val="clear" w:pos="0"/>
        </w:tabs>
        <w:ind w:left="1502" w:leftChars="0" w:hanging="527" w:firstLineChars="0"/>
      </w:pPr>
      <w:r>
        <w:t>韩笑, 张文. 业务流程重组(BPR)在传统物流企业向智慧物流转型中的应用[J]. 物流技术, 2021, 40(12): 15-19.</w:t>
      </w:r>
    </w:p>
    <w:p w14:paraId="73AC6278">
      <w:pPr>
        <w:pStyle w:val="35"/>
        <w:numPr>
          <w:ilvl w:val="0"/>
          <w:numId w:val="27"/>
        </w:numPr>
        <w:tabs>
          <w:tab w:val="left" w:pos="975"/>
          <w:tab w:val="clear" w:pos="210"/>
          <w:tab w:val="clear" w:pos="0"/>
        </w:tabs>
        <w:ind w:left="1502" w:leftChars="0" w:hanging="527" w:firstLineChars="0"/>
      </w:pPr>
      <w:r>
        <w:t>李晓峰. 城市固体废弃物逆向物流网络规划与管理研究综述[J]. 系统工程, 2022, 40(02): 1-12.</w:t>
      </w:r>
    </w:p>
    <w:p w14:paraId="7E3780CD">
      <w:pPr>
        <w:ind w:firstLine="488" w:firstLineChars="200"/>
      </w:pPr>
      <w:r>
        <w:br w:type="page"/>
      </w:r>
    </w:p>
    <w:p w14:paraId="2D7CAA8A">
      <w:pPr>
        <w:pStyle w:val="34"/>
        <w:keepNext/>
        <w:pageBreakBefore/>
        <w:widowControl/>
      </w:pPr>
      <w:bookmarkStart w:id="102" w:name="_Toc552286356"/>
      <w:bookmarkStart w:id="103" w:name="_Toc609353439"/>
      <w:r>
        <w:t>致谢</w:t>
      </w:r>
      <w:bookmarkEnd w:id="102"/>
      <w:bookmarkEnd w:id="103"/>
    </w:p>
    <w:p w14:paraId="1CB68EF9">
      <w:pPr>
        <w:pStyle w:val="33"/>
      </w:pPr>
      <w:r>
        <w:t>行文至此，落笔为终。回首这篇论文的撰写过程，从最初的选题构思到中期的调研分析，再到最终的修改定稿，每一个环节都凝聚了汗水与思考。这篇论文不仅是我在合肥工业大学继续教育学院工商管理专业求学成果的汇报，更是我将管理学理论与企业实践相结合的一次重要探索。在此，我要向所有给予我指导、帮助和支持的良师益友致以最诚挚的谢意。</w:t>
      </w:r>
    </w:p>
    <w:p w14:paraId="214D3FA8">
      <w:pPr>
        <w:pStyle w:val="33"/>
      </w:pPr>
      <w:r>
        <w:t>首先，我要向我的论文指导老师刘晴老师致以最崇高的敬意和最衷心的感谢。从论文题目的确定、大纲的搭建，到逻辑结构的梳理以及数据的论证，刘老师都给予了我悉心的指导和无私的帮助。在论文写作遇到瓶颈时，是刘老师耐心细致的点拨让我茅塞顿开；在初稿完成时，是刘老师严谨治学的态度促使我反复推敲、精益求精。刘老师渊博的专业知识、严谨的学术作风和诲人不倦的师者风范，将使我受益终身。</w:t>
      </w:r>
    </w:p>
    <w:p w14:paraId="2742A93B">
      <w:pPr>
        <w:pStyle w:val="33"/>
      </w:pPr>
      <w:r>
        <w:t>感谢合肥工业大学继续教育学院为我们提供了如此宝贵的学习平台，感谢工商管理专业的各位授课老师。你们在课堂上深入浅出地讲解和精彩的案例分析，不仅极大地拓宽了我的管理视野，更为我构建了扎实的理论框架，使我有能力运用科学的方法去分析和解决实际工作中的问题。</w:t>
      </w:r>
    </w:p>
    <w:p w14:paraId="56481FA0">
      <w:pPr>
        <w:pStyle w:val="33"/>
      </w:pPr>
      <w:r>
        <w:t>特别感谢我的班长王皖南同学。在几年的求学时光里，王班长不仅在班级事务管理上尽职尽责，为我们营造了积极向上、团结友爱的班级氛围，更在学习和生活中给予了我许多无私的鼓励与支持。这段亦师亦友的同窗情谊，是我求学生涯中一笔宝贵的财富。</w:t>
      </w:r>
    </w:p>
    <w:p w14:paraId="2B030D4F">
      <w:pPr>
        <w:pStyle w:val="33"/>
      </w:pPr>
      <w:r>
        <w:t>同时，我要感谢合肥辉达环境产业有限公司的同事们。感谢你们在实地调研、数据收集和业务流程梳理过程中提供的配合与支持，正是因为有了一线最真实的数据，本研究才具有了现实的根基。</w:t>
      </w:r>
    </w:p>
    <w:p w14:paraId="1649CD2F">
      <w:pPr>
        <w:pStyle w:val="33"/>
      </w:pPr>
      <w:r>
        <w:t>最后，感谢我的家人和朋友在背后的默默付出与理解，你们的支持是我不断前行的动力。</w:t>
      </w:r>
    </w:p>
    <w:p w14:paraId="077EA8C3">
      <w:pPr>
        <w:pStyle w:val="33"/>
      </w:pPr>
      <w:r>
        <w:t>学无止境，行以致远。毕业并非终点，而是新的起点。在未来的工作与生活中，我将带着在合工大学到的知识与精神，脚踏实地，努力前行。</w:t>
      </w:r>
    </w:p>
    <w:p w14:paraId="6AB62C26">
      <w:pPr>
        <w:bidi w:val="0"/>
        <w:ind w:firstLine="488" w:firstLineChars="200"/>
        <w:jc w:val="right"/>
        <w:rPr>
          <w:rFonts w:hint="eastAsia"/>
        </w:rPr>
      </w:pPr>
      <w:r>
        <w:rPr>
          <w:rFonts w:hint="eastAsia"/>
        </w:rPr>
        <w:t>[</w:t>
      </w:r>
      <w:r>
        <w:rPr>
          <w:rFonts w:hint="eastAsia"/>
          <w:lang w:val="en-US" w:eastAsia="zh-CN"/>
        </w:rPr>
        <w:t>王嘉绪</w:t>
      </w:r>
      <w:r>
        <w:rPr>
          <w:rFonts w:hint="eastAsia"/>
        </w:rPr>
        <w:t>]</w:t>
      </w:r>
    </w:p>
    <w:p w14:paraId="21BA71CB">
      <w:pPr>
        <w:bidi w:val="0"/>
        <w:ind w:firstLine="488" w:firstLineChars="200"/>
        <w:jc w:val="right"/>
        <w:rPr>
          <w:rFonts w:hint="eastAsia"/>
        </w:rPr>
      </w:pPr>
      <w:r>
        <w:rPr>
          <w:rFonts w:hint="eastAsia"/>
        </w:rPr>
        <w:t>202</w:t>
      </w:r>
      <w:r>
        <w:rPr>
          <w:rFonts w:hint="eastAsia"/>
          <w:lang w:val="en-US" w:eastAsia="zh-CN"/>
        </w:rPr>
        <w:t>6</w:t>
      </w:r>
      <w:r>
        <w:rPr>
          <w:rFonts w:hint="eastAsia"/>
        </w:rPr>
        <w:t>年</w:t>
      </w:r>
      <w:r>
        <w:rPr>
          <w:rFonts w:hint="eastAsia"/>
          <w:lang w:val="en-US" w:eastAsia="zh-CN"/>
        </w:rPr>
        <w:t>5</w:t>
      </w:r>
      <w:r>
        <w:rPr>
          <w:rFonts w:hint="eastAsia"/>
        </w:rPr>
        <w:t>月于合肥</w:t>
      </w:r>
    </w:p>
    <w:sectPr>
      <w:headerReference r:id="rId9" w:type="default"/>
      <w:footerReference r:id="rId10" w:type="default"/>
      <w:type w:val="oddPage"/>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AndChars" w:linePitch="332" w:charSpace="87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8"/>
      </w:pPr>
      <w:r>
        <w:separator/>
      </w:r>
    </w:p>
  </w:endnote>
  <w:endnote w:type="continuationSeparator" w:id="1">
    <w:p>
      <w:pPr>
        <w:ind w:firstLine="4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方正小标宋简体">
    <w:panose1 w:val="02000000000000000000"/>
    <w:charset w:val="86"/>
    <w:family w:val="auto"/>
    <w:pitch w:val="default"/>
    <w:sig w:usb0="00000001" w:usb1="0800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43F5C">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4E138">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AFF8F">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FEAFF8F">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165EB">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74EE7">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B274EE7">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8"/>
      </w:pPr>
      <w:r>
        <w:separator/>
      </w:r>
    </w:p>
  </w:footnote>
  <w:footnote w:type="continuationSeparator" w:id="1">
    <w:p>
      <w:pPr>
        <w:spacing w:before="0" w:after="0"/>
        <w:ind w:firstLine="48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A3BA1">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010A">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C7903">
    <w:pPr>
      <w:pStyle w:val="1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93437"/>
    <w:multiLevelType w:val="singleLevel"/>
    <w:tmpl w:val="8FF93437"/>
    <w:lvl w:ilvl="0" w:tentative="0">
      <w:start w:val="1"/>
      <w:numFmt w:val="decimal"/>
      <w:suff w:val="space"/>
      <w:lvlText w:val="2.3.%1"/>
      <w:lvlJc w:val="left"/>
      <w:pPr>
        <w:ind w:left="0" w:firstLine="0"/>
      </w:pPr>
      <w:rPr>
        <w:rFonts w:hint="default"/>
      </w:rPr>
    </w:lvl>
  </w:abstractNum>
  <w:abstractNum w:abstractNumId="1">
    <w:nsid w:val="9DFDA003"/>
    <w:multiLevelType w:val="singleLevel"/>
    <w:tmpl w:val="9DFDA003"/>
    <w:lvl w:ilvl="0" w:tentative="0">
      <w:start w:val="1"/>
      <w:numFmt w:val="decimalZero"/>
      <w:lvlText w:val="[%1]"/>
      <w:lvlJc w:val="left"/>
      <w:pPr>
        <w:tabs>
          <w:tab w:val="left" w:pos="210"/>
        </w:tabs>
        <w:ind w:left="425" w:hanging="425"/>
      </w:pPr>
      <w:rPr>
        <w:rFonts w:hint="default"/>
      </w:rPr>
    </w:lvl>
  </w:abstractNum>
  <w:abstractNum w:abstractNumId="2">
    <w:nsid w:val="B1F918CF"/>
    <w:multiLevelType w:val="singleLevel"/>
    <w:tmpl w:val="B1F918CF"/>
    <w:lvl w:ilvl="0" w:tentative="0">
      <w:start w:val="1"/>
      <w:numFmt w:val="decimal"/>
      <w:suff w:val="space"/>
      <w:lvlText w:val="1.2.%1"/>
      <w:lvlJc w:val="left"/>
      <w:pPr>
        <w:ind w:left="0" w:firstLine="0"/>
      </w:pPr>
      <w:rPr>
        <w:rFonts w:hint="default"/>
      </w:rPr>
    </w:lvl>
  </w:abstractNum>
  <w:abstractNum w:abstractNumId="3">
    <w:nsid w:val="BBF1F4E6"/>
    <w:multiLevelType w:val="singleLevel"/>
    <w:tmpl w:val="BBF1F4E6"/>
    <w:lvl w:ilvl="0" w:tentative="0">
      <w:start w:val="1"/>
      <w:numFmt w:val="chineseCounting"/>
      <w:suff w:val="space"/>
      <w:lvlText w:val="%1是"/>
      <w:lvlJc w:val="left"/>
      <w:pPr>
        <w:ind w:left="0" w:firstLine="480"/>
      </w:pPr>
      <w:rPr>
        <w:rFonts w:hint="eastAsia"/>
      </w:rPr>
    </w:lvl>
  </w:abstractNum>
  <w:abstractNum w:abstractNumId="4">
    <w:nsid w:val="BFF9C2C1"/>
    <w:multiLevelType w:val="singleLevel"/>
    <w:tmpl w:val="BFF9C2C1"/>
    <w:lvl w:ilvl="0" w:tentative="0">
      <w:start w:val="1"/>
      <w:numFmt w:val="decimal"/>
      <w:suff w:val="space"/>
      <w:lvlText w:val="5.%1"/>
      <w:lvlJc w:val="left"/>
      <w:pPr>
        <w:ind w:left="0" w:firstLine="0"/>
      </w:pPr>
      <w:rPr>
        <w:rFonts w:hint="default"/>
      </w:rPr>
    </w:lvl>
  </w:abstractNum>
  <w:abstractNum w:abstractNumId="5">
    <w:nsid w:val="CF3AC609"/>
    <w:multiLevelType w:val="singleLevel"/>
    <w:tmpl w:val="CF3AC609"/>
    <w:lvl w:ilvl="0" w:tentative="0">
      <w:start w:val="1"/>
      <w:numFmt w:val="decimal"/>
      <w:suff w:val="space"/>
      <w:lvlText w:val="4.2.%1"/>
      <w:lvlJc w:val="left"/>
      <w:pPr>
        <w:ind w:left="0" w:firstLine="0"/>
      </w:pPr>
      <w:rPr>
        <w:rFonts w:hint="default"/>
      </w:rPr>
    </w:lvl>
  </w:abstractNum>
  <w:abstractNum w:abstractNumId="6">
    <w:nsid w:val="CFD34E4B"/>
    <w:multiLevelType w:val="singleLevel"/>
    <w:tmpl w:val="CFD34E4B"/>
    <w:lvl w:ilvl="0" w:tentative="0">
      <w:start w:val="1"/>
      <w:numFmt w:val="decimal"/>
      <w:suff w:val="space"/>
      <w:lvlText w:val="4.%1"/>
      <w:lvlJc w:val="left"/>
      <w:pPr>
        <w:ind w:left="0" w:firstLine="0"/>
      </w:pPr>
      <w:rPr>
        <w:rFonts w:hint="default"/>
      </w:rPr>
    </w:lvl>
  </w:abstractNum>
  <w:abstractNum w:abstractNumId="7">
    <w:nsid w:val="D7FB5CF4"/>
    <w:multiLevelType w:val="singleLevel"/>
    <w:tmpl w:val="D7FB5CF4"/>
    <w:lvl w:ilvl="0" w:tentative="0">
      <w:start w:val="1"/>
      <w:numFmt w:val="decimal"/>
      <w:suff w:val="nothing"/>
      <w:lvlText w:val="（%1）"/>
      <w:lvlJc w:val="left"/>
      <w:pPr>
        <w:ind w:left="0" w:firstLine="480"/>
      </w:pPr>
      <w:rPr>
        <w:rFonts w:hint="default"/>
      </w:rPr>
    </w:lvl>
  </w:abstractNum>
  <w:abstractNum w:abstractNumId="8">
    <w:nsid w:val="DCF8B363"/>
    <w:multiLevelType w:val="singleLevel"/>
    <w:tmpl w:val="DCF8B363"/>
    <w:lvl w:ilvl="0" w:tentative="0">
      <w:start w:val="1"/>
      <w:numFmt w:val="decimal"/>
      <w:suff w:val="space"/>
      <w:lvlText w:val="7.%1"/>
      <w:lvlJc w:val="left"/>
      <w:pPr>
        <w:ind w:left="0" w:firstLine="0"/>
      </w:pPr>
      <w:rPr>
        <w:rFonts w:hint="default"/>
      </w:rPr>
    </w:lvl>
  </w:abstractNum>
  <w:abstractNum w:abstractNumId="9">
    <w:nsid w:val="EBE260D7"/>
    <w:multiLevelType w:val="singleLevel"/>
    <w:tmpl w:val="EBE260D7"/>
    <w:lvl w:ilvl="0" w:tentative="0">
      <w:start w:val="1"/>
      <w:numFmt w:val="decimal"/>
      <w:suff w:val="space"/>
      <w:lvlText w:val="2.%1"/>
      <w:lvlJc w:val="left"/>
      <w:pPr>
        <w:ind w:left="0" w:firstLine="0"/>
      </w:pPr>
      <w:rPr>
        <w:rFonts w:hint="default"/>
      </w:rPr>
    </w:lvl>
  </w:abstractNum>
  <w:abstractNum w:abstractNumId="10">
    <w:nsid w:val="EFBA6C75"/>
    <w:multiLevelType w:val="singleLevel"/>
    <w:tmpl w:val="EFBA6C75"/>
    <w:lvl w:ilvl="0" w:tentative="0">
      <w:start w:val="1"/>
      <w:numFmt w:val="decimal"/>
      <w:suff w:val="space"/>
      <w:lvlText w:val="2.1.%1"/>
      <w:lvlJc w:val="left"/>
      <w:pPr>
        <w:ind w:left="0" w:firstLine="0"/>
      </w:pPr>
      <w:rPr>
        <w:rFonts w:hint="default"/>
      </w:rPr>
    </w:lvl>
  </w:abstractNum>
  <w:abstractNum w:abstractNumId="11">
    <w:nsid w:val="F5F627C3"/>
    <w:multiLevelType w:val="singleLevel"/>
    <w:tmpl w:val="F5F627C3"/>
    <w:lvl w:ilvl="0" w:tentative="0">
      <w:start w:val="1"/>
      <w:numFmt w:val="decimal"/>
      <w:suff w:val="space"/>
      <w:lvlText w:val="4.3.%1"/>
      <w:lvlJc w:val="left"/>
      <w:pPr>
        <w:ind w:left="0" w:firstLine="0"/>
      </w:pPr>
      <w:rPr>
        <w:rFonts w:hint="default"/>
      </w:rPr>
    </w:lvl>
  </w:abstractNum>
  <w:abstractNum w:abstractNumId="12">
    <w:nsid w:val="F6DFFA3B"/>
    <w:multiLevelType w:val="singleLevel"/>
    <w:tmpl w:val="F6DFFA3B"/>
    <w:lvl w:ilvl="0" w:tentative="0">
      <w:start w:val="1"/>
      <w:numFmt w:val="decimal"/>
      <w:suff w:val="space"/>
      <w:lvlText w:val="3.%1"/>
      <w:lvlJc w:val="left"/>
      <w:pPr>
        <w:ind w:left="0" w:firstLine="0"/>
      </w:pPr>
      <w:rPr>
        <w:rFonts w:hint="default"/>
      </w:rPr>
    </w:lvl>
  </w:abstractNum>
  <w:abstractNum w:abstractNumId="13">
    <w:nsid w:val="F76E7FE3"/>
    <w:multiLevelType w:val="singleLevel"/>
    <w:tmpl w:val="F76E7FE3"/>
    <w:lvl w:ilvl="0" w:tentative="0">
      <w:start w:val="1"/>
      <w:numFmt w:val="decimal"/>
      <w:suff w:val="nothing"/>
      <w:lvlText w:val="（%1）"/>
      <w:lvlJc w:val="left"/>
      <w:pPr>
        <w:ind w:left="0" w:firstLine="480"/>
      </w:pPr>
      <w:rPr>
        <w:rFonts w:hint="default"/>
      </w:rPr>
    </w:lvl>
  </w:abstractNum>
  <w:abstractNum w:abstractNumId="14">
    <w:nsid w:val="FBE5EFBA"/>
    <w:multiLevelType w:val="singleLevel"/>
    <w:tmpl w:val="FBE5EFBA"/>
    <w:lvl w:ilvl="0" w:tentative="0">
      <w:start w:val="1"/>
      <w:numFmt w:val="decimal"/>
      <w:suff w:val="space"/>
      <w:lvlText w:val="4.4.%1"/>
      <w:lvlJc w:val="left"/>
      <w:pPr>
        <w:ind w:left="0" w:firstLine="0"/>
      </w:pPr>
      <w:rPr>
        <w:rFonts w:hint="default"/>
      </w:rPr>
    </w:lvl>
  </w:abstractNum>
  <w:abstractNum w:abstractNumId="15">
    <w:nsid w:val="FBFC7D4B"/>
    <w:multiLevelType w:val="singleLevel"/>
    <w:tmpl w:val="FBFC7D4B"/>
    <w:lvl w:ilvl="0" w:tentative="0">
      <w:start w:val="1"/>
      <w:numFmt w:val="decimal"/>
      <w:suff w:val="space"/>
      <w:lvlText w:val="1.1.%1"/>
      <w:lvlJc w:val="left"/>
      <w:pPr>
        <w:ind w:left="0" w:firstLine="0"/>
      </w:pPr>
      <w:rPr>
        <w:rFonts w:hint="default"/>
      </w:rPr>
    </w:lvl>
  </w:abstractNum>
  <w:abstractNum w:abstractNumId="16">
    <w:nsid w:val="FDE16096"/>
    <w:multiLevelType w:val="singleLevel"/>
    <w:tmpl w:val="FDE16096"/>
    <w:lvl w:ilvl="0" w:tentative="0">
      <w:start w:val="1"/>
      <w:numFmt w:val="decimal"/>
      <w:suff w:val="space"/>
      <w:lvlText w:val="1.%1"/>
      <w:lvlJc w:val="left"/>
      <w:pPr>
        <w:ind w:left="0" w:firstLine="0"/>
      </w:pPr>
      <w:rPr>
        <w:rFonts w:hint="default"/>
      </w:rPr>
    </w:lvl>
  </w:abstractNum>
  <w:abstractNum w:abstractNumId="17">
    <w:nsid w:val="FDEF60F6"/>
    <w:multiLevelType w:val="singleLevel"/>
    <w:tmpl w:val="FDEF60F6"/>
    <w:lvl w:ilvl="0" w:tentative="0">
      <w:start w:val="1"/>
      <w:numFmt w:val="chineseCounting"/>
      <w:suff w:val="space"/>
      <w:lvlText w:val="%1是"/>
      <w:lvlJc w:val="left"/>
      <w:pPr>
        <w:ind w:left="0" w:firstLine="480"/>
      </w:pPr>
      <w:rPr>
        <w:rFonts w:hint="eastAsia"/>
      </w:rPr>
    </w:lvl>
  </w:abstractNum>
  <w:abstractNum w:abstractNumId="18">
    <w:nsid w:val="FDFF9F6E"/>
    <w:multiLevelType w:val="singleLevel"/>
    <w:tmpl w:val="FDFF9F6E"/>
    <w:lvl w:ilvl="0" w:tentative="0">
      <w:start w:val="1"/>
      <w:numFmt w:val="decimalZero"/>
      <w:lvlText w:val="[%1]"/>
      <w:lvlJc w:val="left"/>
      <w:pPr>
        <w:tabs>
          <w:tab w:val="left" w:pos="210"/>
        </w:tabs>
        <w:ind w:left="425" w:hanging="425"/>
      </w:pPr>
      <w:rPr>
        <w:rFonts w:hint="default"/>
      </w:rPr>
    </w:lvl>
  </w:abstractNum>
  <w:abstractNum w:abstractNumId="19">
    <w:nsid w:val="FFBD2C30"/>
    <w:multiLevelType w:val="singleLevel"/>
    <w:tmpl w:val="FFBD2C30"/>
    <w:lvl w:ilvl="0" w:tentative="0">
      <w:start w:val="1"/>
      <w:numFmt w:val="decimal"/>
      <w:suff w:val="nothing"/>
      <w:lvlText w:val="（%1）"/>
      <w:lvlJc w:val="left"/>
      <w:pPr>
        <w:ind w:left="0" w:firstLine="480"/>
      </w:pPr>
      <w:rPr>
        <w:rFonts w:hint="default"/>
      </w:rPr>
    </w:lvl>
  </w:abstractNum>
  <w:abstractNum w:abstractNumId="20">
    <w:nsid w:val="FFC6D501"/>
    <w:multiLevelType w:val="singleLevel"/>
    <w:tmpl w:val="FFC6D501"/>
    <w:lvl w:ilvl="0" w:tentative="0">
      <w:start w:val="1"/>
      <w:numFmt w:val="decimal"/>
      <w:suff w:val="nothing"/>
      <w:lvlText w:val="（%1）"/>
      <w:lvlJc w:val="left"/>
      <w:pPr>
        <w:ind w:left="0" w:firstLine="480"/>
      </w:pPr>
      <w:rPr>
        <w:rFonts w:hint="default"/>
      </w:rPr>
    </w:lvl>
  </w:abstractNum>
  <w:abstractNum w:abstractNumId="21">
    <w:nsid w:val="FFF78A2B"/>
    <w:multiLevelType w:val="singleLevel"/>
    <w:tmpl w:val="FFF78A2B"/>
    <w:lvl w:ilvl="0" w:tentative="0">
      <w:start w:val="1"/>
      <w:numFmt w:val="decimal"/>
      <w:suff w:val="space"/>
      <w:lvlText w:val="(%1)"/>
      <w:lvlJc w:val="left"/>
      <w:pPr>
        <w:tabs>
          <w:tab w:val="left" w:pos="840"/>
        </w:tabs>
        <w:ind w:left="1265" w:hanging="425"/>
      </w:pPr>
      <w:rPr>
        <w:rFonts w:hint="default"/>
      </w:rPr>
    </w:lvl>
  </w:abstractNum>
  <w:abstractNum w:abstractNumId="22">
    <w:nsid w:val="FFFE5515"/>
    <w:multiLevelType w:val="singleLevel"/>
    <w:tmpl w:val="FFFE5515"/>
    <w:lvl w:ilvl="0" w:tentative="0">
      <w:start w:val="1"/>
      <w:numFmt w:val="decimal"/>
      <w:suff w:val="nothing"/>
      <w:lvlText w:val="（%1）"/>
      <w:lvlJc w:val="left"/>
      <w:pPr>
        <w:ind w:left="0" w:firstLine="480"/>
      </w:pPr>
      <w:rPr>
        <w:rFonts w:hint="default"/>
      </w:rPr>
    </w:lvl>
  </w:abstractNum>
  <w:abstractNum w:abstractNumId="23">
    <w:nsid w:val="369D9365"/>
    <w:multiLevelType w:val="singleLevel"/>
    <w:tmpl w:val="369D9365"/>
    <w:lvl w:ilvl="0" w:tentative="0">
      <w:start w:val="1"/>
      <w:numFmt w:val="chineseCounting"/>
      <w:suff w:val="space"/>
      <w:lvlText w:val="第%1章"/>
      <w:lvlJc w:val="left"/>
      <w:pPr>
        <w:ind w:left="0" w:firstLine="0"/>
      </w:pPr>
      <w:rPr>
        <w:rFonts w:hint="eastAsia"/>
      </w:rPr>
    </w:lvl>
  </w:abstractNum>
  <w:abstractNum w:abstractNumId="24">
    <w:nsid w:val="3FBEBD9C"/>
    <w:multiLevelType w:val="singleLevel"/>
    <w:tmpl w:val="3FBEBD9C"/>
    <w:lvl w:ilvl="0" w:tentative="0">
      <w:start w:val="1"/>
      <w:numFmt w:val="decimal"/>
      <w:suff w:val="space"/>
      <w:lvlText w:val="6.%1"/>
      <w:lvlJc w:val="left"/>
      <w:pPr>
        <w:ind w:left="0" w:firstLine="0"/>
      </w:pPr>
      <w:rPr>
        <w:rFonts w:hint="default"/>
      </w:rPr>
    </w:lvl>
  </w:abstractNum>
  <w:abstractNum w:abstractNumId="25">
    <w:nsid w:val="67374D74"/>
    <w:multiLevelType w:val="singleLevel"/>
    <w:tmpl w:val="67374D74"/>
    <w:lvl w:ilvl="0" w:tentative="0">
      <w:start w:val="1"/>
      <w:numFmt w:val="decimal"/>
      <w:suff w:val="space"/>
      <w:lvlText w:val="2.2.%1"/>
      <w:lvlJc w:val="left"/>
      <w:pPr>
        <w:ind w:left="0" w:firstLine="0"/>
      </w:pPr>
      <w:rPr>
        <w:rFonts w:hint="default"/>
      </w:rPr>
    </w:lvl>
  </w:abstractNum>
  <w:abstractNum w:abstractNumId="26">
    <w:nsid w:val="77F2E55D"/>
    <w:multiLevelType w:val="singleLevel"/>
    <w:tmpl w:val="77F2E55D"/>
    <w:lvl w:ilvl="0" w:tentative="0">
      <w:start w:val="1"/>
      <w:numFmt w:val="decimalZero"/>
      <w:lvlText w:val="[%1]"/>
      <w:lvlJc w:val="left"/>
      <w:pPr>
        <w:tabs>
          <w:tab w:val="left" w:pos="210"/>
        </w:tabs>
        <w:ind w:left="425" w:hanging="425"/>
      </w:pPr>
      <w:rPr>
        <w:rFonts w:hint="default"/>
      </w:rPr>
    </w:lvl>
  </w:abstractNum>
  <w:num w:numId="1">
    <w:abstractNumId w:val="23"/>
  </w:num>
  <w:num w:numId="2">
    <w:abstractNumId w:val="16"/>
  </w:num>
  <w:num w:numId="3">
    <w:abstractNumId w:val="15"/>
  </w:num>
  <w:num w:numId="4">
    <w:abstractNumId w:val="2"/>
  </w:num>
  <w:num w:numId="5">
    <w:abstractNumId w:val="20"/>
  </w:num>
  <w:num w:numId="6">
    <w:abstractNumId w:val="9"/>
  </w:num>
  <w:num w:numId="7">
    <w:abstractNumId w:val="10"/>
  </w:num>
  <w:num w:numId="8">
    <w:abstractNumId w:val="25"/>
  </w:num>
  <w:num w:numId="9">
    <w:abstractNumId w:val="3"/>
  </w:num>
  <w:num w:numId="10">
    <w:abstractNumId w:val="17"/>
  </w:num>
  <w:num w:numId="11">
    <w:abstractNumId w:val="0"/>
  </w:num>
  <w:num w:numId="12">
    <w:abstractNumId w:val="13"/>
  </w:num>
  <w:num w:numId="13">
    <w:abstractNumId w:val="12"/>
  </w:num>
  <w:num w:numId="14">
    <w:abstractNumId w:val="22"/>
  </w:num>
  <w:num w:numId="15">
    <w:abstractNumId w:val="7"/>
  </w:num>
  <w:num w:numId="16">
    <w:abstractNumId w:val="21"/>
  </w:num>
  <w:num w:numId="17">
    <w:abstractNumId w:val="19"/>
  </w:num>
  <w:num w:numId="18">
    <w:abstractNumId w:val="6"/>
  </w:num>
  <w:num w:numId="19">
    <w:abstractNumId w:val="5"/>
  </w:num>
  <w:num w:numId="20">
    <w:abstractNumId w:val="11"/>
  </w:num>
  <w:num w:numId="21">
    <w:abstractNumId w:val="14"/>
  </w:num>
  <w:num w:numId="22">
    <w:abstractNumId w:val="4"/>
  </w:num>
  <w:num w:numId="23">
    <w:abstractNumId w:val="24"/>
  </w:num>
  <w:num w:numId="24">
    <w:abstractNumId w:val="8"/>
  </w:num>
  <w:num w:numId="25">
    <w:abstractNumId w:val="18"/>
  </w:num>
  <w:num w:numId="26">
    <w:abstractNumId w:val="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HorizontalSpacing w:val="122"/>
  <w:drawingGridVerticalSpacing w:val="166"/>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59A48"/>
    <w:rsid w:val="11AEBEF6"/>
    <w:rsid w:val="3F7E3AFA"/>
    <w:rsid w:val="3FFFA557"/>
    <w:rsid w:val="47DAAB49"/>
    <w:rsid w:val="5D6B7943"/>
    <w:rsid w:val="5DB8E366"/>
    <w:rsid w:val="5EFB26C5"/>
    <w:rsid w:val="5EFE1A6E"/>
    <w:rsid w:val="5EFFD6A6"/>
    <w:rsid w:val="5FE59A48"/>
    <w:rsid w:val="69DC1977"/>
    <w:rsid w:val="6F3F0D90"/>
    <w:rsid w:val="6FBE475A"/>
    <w:rsid w:val="6FBF4BC7"/>
    <w:rsid w:val="716F95F5"/>
    <w:rsid w:val="73DED031"/>
    <w:rsid w:val="74BE0305"/>
    <w:rsid w:val="755FF6FD"/>
    <w:rsid w:val="77DF6100"/>
    <w:rsid w:val="77F0FD99"/>
    <w:rsid w:val="78629694"/>
    <w:rsid w:val="79FF1CD3"/>
    <w:rsid w:val="7BFDD57E"/>
    <w:rsid w:val="7BFF9C5F"/>
    <w:rsid w:val="7D1590C5"/>
    <w:rsid w:val="7DAF6746"/>
    <w:rsid w:val="7DFF25F5"/>
    <w:rsid w:val="7F4CC41D"/>
    <w:rsid w:val="7F97C21E"/>
    <w:rsid w:val="7FDB4BFE"/>
    <w:rsid w:val="7FF9EE3F"/>
    <w:rsid w:val="BFFD875C"/>
    <w:rsid w:val="C7CFB157"/>
    <w:rsid w:val="CEEF8D2E"/>
    <w:rsid w:val="DABD9F94"/>
    <w:rsid w:val="DDDA9AD0"/>
    <w:rsid w:val="DDE66FA9"/>
    <w:rsid w:val="DE65F6BB"/>
    <w:rsid w:val="DEBF23FD"/>
    <w:rsid w:val="DEBFA526"/>
    <w:rsid w:val="E5DB0FBE"/>
    <w:rsid w:val="E7D57C60"/>
    <w:rsid w:val="ECDF72C9"/>
    <w:rsid w:val="EFE562CD"/>
    <w:rsid w:val="F6B7FAB2"/>
    <w:rsid w:val="FBEE1BCE"/>
    <w:rsid w:val="FBEE8C60"/>
    <w:rsid w:val="FEECA52B"/>
    <w:rsid w:val="FEF38AC0"/>
    <w:rsid w:val="FEF78EB7"/>
    <w:rsid w:val="FF67C034"/>
    <w:rsid w:val="FFDF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0" w:beforeLines="20" w:after="20" w:afterLines="20"/>
      <w:ind w:firstLine="823" w:firstLineChars="200"/>
      <w:jc w:val="both"/>
    </w:pPr>
    <w:rPr>
      <w:rFonts w:eastAsia="宋体" w:asciiTheme="minorAscii" w:hAnsiTheme="minorAscii" w:cstheme="minorBidi"/>
      <w:snapToGrid w:val="0"/>
      <w:sz w:val="24"/>
      <w:szCs w:val="22"/>
    </w:rPr>
  </w:style>
  <w:style w:type="paragraph" w:styleId="2">
    <w:name w:val="heading 1"/>
    <w:next w:val="1"/>
    <w:qFormat/>
    <w:uiPriority w:val="0"/>
    <w:pPr>
      <w:keepNext w:val="0"/>
      <w:keepLines w:val="0"/>
      <w:pageBreakBefore w:val="0"/>
      <w:widowControl/>
      <w:kinsoku/>
      <w:wordWrap/>
      <w:overflowPunct/>
      <w:topLinePunct w:val="0"/>
      <w:autoSpaceDE/>
      <w:autoSpaceDN/>
      <w:bidi w:val="0"/>
      <w:adjustRightInd w:val="0"/>
      <w:spacing w:before="240" w:after="120" w:line="240" w:lineRule="auto"/>
      <w:ind w:firstLine="0" w:firstLineChars="0"/>
      <w:jc w:val="left"/>
      <w:textAlignment w:val="auto"/>
      <w:outlineLvl w:val="0"/>
    </w:pPr>
    <w:rPr>
      <w:rFonts w:ascii="Arial" w:hAnsi="Arial" w:eastAsia="黑体" w:cs="Arial"/>
      <w:kern w:val="2"/>
      <w:sz w:val="32"/>
      <w:szCs w:val="32"/>
      <w:lang w:bidi="ar-SA"/>
    </w:rPr>
  </w:style>
  <w:style w:type="paragraph" w:styleId="3">
    <w:name w:val="heading 2"/>
    <w:next w:val="1"/>
    <w:unhideWhenUsed/>
    <w:qFormat/>
    <w:uiPriority w:val="0"/>
    <w:pPr>
      <w:keepNext w:val="0"/>
      <w:keepLines w:val="0"/>
      <w:pageBreakBefore w:val="0"/>
      <w:widowControl/>
      <w:kinsoku/>
      <w:wordWrap/>
      <w:overflowPunct/>
      <w:topLinePunct w:val="0"/>
      <w:autoSpaceDE/>
      <w:autoSpaceDN/>
      <w:bidi w:val="0"/>
      <w:adjustRightInd w:val="0"/>
      <w:spacing w:before="120" w:after="120" w:line="240" w:lineRule="auto"/>
      <w:jc w:val="left"/>
      <w:textAlignment w:val="auto"/>
      <w:outlineLvl w:val="1"/>
    </w:pPr>
    <w:rPr>
      <w:rFonts w:ascii="Arial" w:hAnsi="Arial" w:eastAsia="黑体" w:cs="Arial"/>
      <w:kern w:val="2"/>
      <w:sz w:val="30"/>
      <w:szCs w:val="30"/>
      <w:lang w:bidi="ar-SA"/>
    </w:rPr>
  </w:style>
  <w:style w:type="paragraph" w:styleId="4">
    <w:name w:val="heading 3"/>
    <w:next w:val="1"/>
    <w:unhideWhenUsed/>
    <w:qFormat/>
    <w:uiPriority w:val="0"/>
    <w:pPr>
      <w:keepNext w:val="0"/>
      <w:keepLines w:val="0"/>
      <w:pageBreakBefore w:val="0"/>
      <w:widowControl w:val="0"/>
      <w:kinsoku/>
      <w:wordWrap/>
      <w:overflowPunct/>
      <w:topLinePunct w:val="0"/>
      <w:autoSpaceDE/>
      <w:autoSpaceDN/>
      <w:bidi w:val="0"/>
      <w:adjustRightInd w:val="0"/>
      <w:spacing w:before="120" w:beforeLines="0" w:beforeAutospacing="0" w:after="120" w:afterLines="0" w:afterAutospacing="0" w:line="240" w:lineRule="auto"/>
      <w:ind w:left="0" w:leftChars="0" w:right="0" w:rightChars="0" w:firstLine="0" w:firstLineChars="0"/>
      <w:jc w:val="left"/>
      <w:textAlignment w:val="auto"/>
      <w:outlineLvl w:val="2"/>
    </w:pPr>
    <w:rPr>
      <w:rFonts w:ascii="Arial" w:hAnsi="Arial" w:eastAsia="黑体" w:cs="Arial"/>
      <w:kern w:val="2"/>
      <w:sz w:val="28"/>
      <w:szCs w:val="28"/>
      <w:lang w:bidi="ar-SA"/>
    </w:rPr>
  </w:style>
  <w:style w:type="paragraph" w:styleId="5">
    <w:name w:val="heading 4"/>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pageBreakBefore w:val="0"/>
      <w:widowControl w:val="0"/>
      <w:kinsoku/>
      <w:wordWrap/>
      <w:overflowPunct/>
      <w:topLinePunct w:val="0"/>
      <w:autoSpaceDE/>
      <w:autoSpaceDN/>
      <w:bidi w:val="0"/>
      <w:adjustRightInd w:val="0"/>
      <w:spacing w:beforeLines="0" w:beforeAutospacing="0" w:afterLines="0" w:afterAutospacing="0" w:line="400" w:lineRule="exact"/>
      <w:ind w:left="0" w:leftChars="0" w:right="0" w:rightChars="0" w:firstLine="480" w:firstLineChars="200"/>
      <w:jc w:val="left"/>
      <w:textAlignment w:val="auto"/>
      <w:outlineLvl w:val="8"/>
    </w:pPr>
    <w:rPr>
      <w:rFonts w:ascii="Times New Roman" w:hAnsi="Times New Roman" w:eastAsia="宋体" w:cs="Times New Roman"/>
      <w:kern w:val="2"/>
      <w:sz w:val="24"/>
      <w:szCs w:val="24"/>
      <w:lang w:bidi="ar-SA"/>
    </w:rPr>
  </w:style>
  <w:style w:type="character" w:default="1" w:styleId="21">
    <w:name w:val="Default Paragraph Font"/>
    <w:semiHidden/>
    <w:uiPriority w:val="0"/>
  </w:style>
  <w:style w:type="table" w:default="1" w:styleId="19">
    <w:name w:val="Normal Table"/>
    <w:semiHidden/>
    <w:uiPriority w:val="0"/>
    <w:tblPr>
      <w:tblCellMar>
        <w:top w:w="0" w:type="dxa"/>
        <w:left w:w="108" w:type="dxa"/>
        <w:bottom w:w="0" w:type="dxa"/>
        <w:right w:w="108" w:type="dxa"/>
      </w:tblCellMar>
    </w:tblPr>
  </w:style>
  <w:style w:type="paragraph" w:styleId="11">
    <w:name w:val="Body Text"/>
    <w:uiPriority w:val="0"/>
    <w:pPr>
      <w:keepNext w:val="0"/>
      <w:keepLines w:val="0"/>
      <w:pageBreakBefore w:val="0"/>
      <w:widowControl w:val="0"/>
      <w:tabs>
        <w:tab w:val="left" w:pos="2279"/>
      </w:tabs>
      <w:kinsoku/>
      <w:wordWrap/>
      <w:overflowPunct/>
      <w:topLinePunct w:val="0"/>
      <w:autoSpaceDE/>
      <w:autoSpaceDN/>
      <w:bidi w:val="0"/>
      <w:adjustRightInd w:val="0"/>
      <w:spacing w:beforeAutospacing="0" w:afterAutospacing="0" w:line="400" w:lineRule="exact"/>
      <w:ind w:left="0" w:leftChars="0" w:firstLine="480" w:firstLineChars="200"/>
      <w:jc w:val="both"/>
      <w:textAlignment w:val="auto"/>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next w:val="1"/>
    <w:uiPriority w:val="0"/>
    <w:pPr>
      <w:adjustRightInd w:val="0"/>
      <w:spacing w:line="240" w:lineRule="auto"/>
      <w:ind w:firstLine="0" w:firstLineChars="0"/>
    </w:pPr>
    <w:rPr>
      <w:rFonts w:ascii="Times New Roman" w:hAnsi="Times New Roman" w:eastAsia="宋体" w:cs="Times New Roman"/>
      <w:sz w:val="21"/>
      <w:szCs w:val="21"/>
    </w:rPr>
  </w:style>
  <w:style w:type="paragraph" w:styleId="16">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7">
    <w:name w:val="toc 2"/>
    <w:next w:val="1"/>
    <w:uiPriority w:val="0"/>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18">
    <w:name w:val="Title"/>
    <w:qFormat/>
    <w:uiPriority w:val="0"/>
    <w:pPr>
      <w:keepNext w:val="0"/>
      <w:keepLines w:val="0"/>
      <w:pageBreakBefore w:val="0"/>
      <w:widowControl/>
      <w:kinsoku/>
      <w:wordWrap/>
      <w:overflowPunct/>
      <w:topLinePunct w:val="0"/>
      <w:autoSpaceDE/>
      <w:autoSpaceDN/>
      <w:bidi w:val="0"/>
      <w:adjustRightInd w:val="0"/>
      <w:spacing w:afterLines="100" w:line="240" w:lineRule="auto"/>
      <w:jc w:val="center"/>
      <w:textAlignment w:val="auto"/>
      <w:outlineLvl w:val="9"/>
    </w:pPr>
    <w:rPr>
      <w:rFonts w:ascii="Arial" w:hAnsi="Arial" w:eastAsia="黑体" w:cs="Arial"/>
      <w:kern w:val="0"/>
      <w:sz w:val="44"/>
      <w:szCs w:val="44"/>
      <w:shd w:val="clear" w:color="auto" w:fill="FFFFFF"/>
      <w:lang w:bidi="ar-SA"/>
    </w:rPr>
  </w:style>
  <w:style w:type="table" w:styleId="20">
    <w:name w:val="Table Grid"/>
    <w:basedOn w:val="1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官方发文：标题"/>
    <w:basedOn w:val="1"/>
    <w:uiPriority w:val="0"/>
    <w:pPr>
      <w:spacing w:beforeLines="0" w:afterLines="0" w:line="600" w:lineRule="exact"/>
      <w:jc w:val="center"/>
    </w:pPr>
    <w:rPr>
      <w:rFonts w:hint="eastAsia" w:ascii="方正小标宋简体" w:hAnsi="方正小标宋简体" w:eastAsia="方正小标宋简体" w:cs="方正小标宋简体"/>
      <w:color w:val="auto"/>
      <w:sz w:val="44"/>
      <w:szCs w:val="44"/>
    </w:rPr>
  </w:style>
  <w:style w:type="paragraph" w:customStyle="1" w:styleId="23">
    <w:name w:val="官方发文：标题注释"/>
    <w:basedOn w:val="1"/>
    <w:uiPriority w:val="0"/>
    <w:pPr>
      <w:spacing w:beforeLines="0" w:afterLines="0" w:line="600" w:lineRule="exact"/>
      <w:jc w:val="center"/>
    </w:pPr>
    <w:rPr>
      <w:rFonts w:hint="eastAsia" w:ascii="楷体_GB2312" w:hAnsi="楷体_GB2312" w:eastAsia="楷体_GB2312" w:cs="楷体_GB2312"/>
      <w:color w:val="auto"/>
      <w:sz w:val="32"/>
      <w:szCs w:val="32"/>
    </w:rPr>
  </w:style>
  <w:style w:type="paragraph" w:customStyle="1" w:styleId="24">
    <w:name w:val="官方：条目标题"/>
    <w:basedOn w:val="1"/>
    <w:uiPriority w:val="0"/>
    <w:pPr>
      <w:spacing w:line="600" w:lineRule="exact"/>
      <w:jc w:val="center"/>
    </w:pPr>
    <w:rPr>
      <w:rFonts w:hint="eastAsia" w:ascii="黑体" w:hAnsi="黑体" w:eastAsia="黑体"/>
      <w:color w:val="auto"/>
      <w:sz w:val="32"/>
      <w:szCs w:val="32"/>
    </w:rPr>
  </w:style>
  <w:style w:type="paragraph" w:customStyle="1" w:styleId="25">
    <w:name w:val="官方：一级标题"/>
    <w:basedOn w:val="1"/>
    <w:uiPriority w:val="0"/>
    <w:pPr>
      <w:spacing w:line="600" w:lineRule="exact"/>
      <w:jc w:val="center"/>
    </w:pPr>
    <w:rPr>
      <w:rFonts w:hint="eastAsia" w:ascii="黑体" w:hAnsi="黑体" w:eastAsia="黑体"/>
      <w:color w:val="auto"/>
      <w:sz w:val="32"/>
      <w:szCs w:val="32"/>
    </w:rPr>
  </w:style>
  <w:style w:type="paragraph" w:customStyle="1" w:styleId="26">
    <w:name w:val="官方发文：正文普通字体"/>
    <w:basedOn w:val="1"/>
    <w:uiPriority w:val="0"/>
    <w:pPr>
      <w:spacing w:line="600" w:lineRule="exact"/>
      <w:ind w:firstLine="640" w:firstLineChars="200"/>
    </w:pPr>
    <w:rPr>
      <w:rFonts w:hint="eastAsia" w:ascii="仿宋_GB2312" w:hAnsi="仿宋_GB2312" w:eastAsia="仿宋_GB2312"/>
      <w:color w:val="auto"/>
      <w:sz w:val="28"/>
      <w:szCs w:val="32"/>
    </w:rPr>
  </w:style>
  <w:style w:type="paragraph" w:customStyle="1" w:styleId="27">
    <w:name w:val="官方发文：小标题重点短句"/>
    <w:basedOn w:val="1"/>
    <w:uiPriority w:val="0"/>
    <w:pPr>
      <w:spacing w:line="600" w:lineRule="exact"/>
    </w:pPr>
    <w:rPr>
      <w:rFonts w:hint="eastAsia" w:ascii="楷体_GB2312" w:hAnsi="楷体_GB2312" w:eastAsia="楷体_GB2312" w:cs="楷体_GB2312"/>
      <w:color w:val="000000" w:themeColor="text1"/>
      <w:sz w:val="32"/>
      <w:szCs w:val="32"/>
      <w14:textFill>
        <w14:solidFill>
          <w14:schemeClr w14:val="tx1"/>
        </w14:solidFill>
      </w14:textFill>
    </w:rPr>
  </w:style>
  <w:style w:type="paragraph" w:customStyle="1" w:styleId="28">
    <w:name w:val="摘要正文"/>
    <w:next w:val="1"/>
    <w:uiPriority w:val="0"/>
    <w:pPr>
      <w:keepNext w:val="0"/>
      <w:keepLines w:val="0"/>
      <w:pageBreakBefore w:val="0"/>
      <w:widowControl w:val="0"/>
      <w:kinsoku/>
      <w:wordWrap/>
      <w:overflowPunct/>
      <w:topLinePunct w:val="0"/>
      <w:autoSpaceDE/>
      <w:autoSpaceDN/>
      <w:bidi w:val="0"/>
      <w:adjustRightInd w:val="0"/>
      <w:spacing w:beforeAutospacing="0" w:afterAutospacing="0" w:line="400" w:lineRule="exact"/>
      <w:ind w:right="0" w:rightChars="0" w:firstLine="480" w:firstLineChars="200"/>
      <w:jc w:val="both"/>
      <w:textAlignment w:val="auto"/>
      <w:outlineLvl w:val="9"/>
    </w:pPr>
    <w:rPr>
      <w:rFonts w:ascii="Times New Roman" w:hAnsi="Times New Roman" w:eastAsia="宋体" w:cs="Times New Roman"/>
      <w:spacing w:val="8"/>
      <w:kern w:val="0"/>
      <w:sz w:val="24"/>
      <w:szCs w:val="24"/>
    </w:rPr>
  </w:style>
  <w:style w:type="character" w:customStyle="1" w:styleId="29">
    <w:name w:val="摘要"/>
    <w:uiPriority w:val="0"/>
    <w:rPr>
      <w:rFonts w:ascii="Times New Roman" w:hAnsi="Times New Roman" w:eastAsia="宋体" w:cs="Times New Roman"/>
      <w:b/>
      <w:bCs/>
      <w:sz w:val="24"/>
      <w:szCs w:val="24"/>
    </w:rPr>
  </w:style>
  <w:style w:type="paragraph" w:customStyle="1" w:styleId="30">
    <w:name w:val="关键词正文"/>
    <w:next w:val="1"/>
    <w:uiPriority w:val="0"/>
    <w:pPr>
      <w:keepNext w:val="0"/>
      <w:keepLines w:val="0"/>
      <w:pageBreakBefore w:val="0"/>
      <w:widowControl/>
      <w:kinsoku/>
      <w:wordWrap/>
      <w:overflowPunct/>
      <w:topLinePunct w:val="0"/>
      <w:autoSpaceDE/>
      <w:autoSpaceDN/>
      <w:bidi w:val="0"/>
      <w:adjustRightInd w:val="0"/>
      <w:spacing w:line="400" w:lineRule="exact"/>
      <w:ind w:firstLine="0" w:firstLineChars="0"/>
      <w:jc w:val="both"/>
      <w:textAlignment w:val="auto"/>
      <w:outlineLvl w:val="9"/>
    </w:pPr>
    <w:rPr>
      <w:rFonts w:ascii="Times New Roman" w:hAnsi="Times New Roman" w:eastAsia="宋体" w:cs="Times New Roman"/>
      <w:spacing w:val="8"/>
      <w:kern w:val="0"/>
      <w:sz w:val="24"/>
      <w:szCs w:val="24"/>
      <w:lang w:bidi="ar-SA"/>
    </w:rPr>
  </w:style>
  <w:style w:type="character" w:customStyle="1" w:styleId="31">
    <w:name w:val="关键词"/>
    <w:uiPriority w:val="0"/>
    <w:rPr>
      <w:rFonts w:ascii="Arial" w:hAnsi="Arial" w:eastAsia="黑体" w:cs="Arial"/>
      <w:spacing w:val="8"/>
      <w:kern w:val="0"/>
      <w:sz w:val="24"/>
      <w:szCs w:val="24"/>
      <w:lang w:bidi="ar-SA"/>
    </w:rPr>
  </w:style>
  <w:style w:type="paragraph" w:customStyle="1" w:styleId="32">
    <w:name w:val="摘要标题"/>
    <w:next w:val="1"/>
    <w:uiPriority w:val="0"/>
    <w:pPr>
      <w:widowControl/>
      <w:adjustRightInd w:val="0"/>
      <w:spacing w:beforeLines="200" w:beforeAutospacing="0" w:afterLines="100" w:afterAutospacing="0" w:line="240" w:lineRule="auto"/>
      <w:ind w:left="0" w:leftChars="0" w:right="0" w:rightChars="0" w:firstLine="0" w:firstLineChars="0"/>
      <w:jc w:val="center"/>
      <w:outlineLvl w:val="9"/>
    </w:pPr>
    <w:rPr>
      <w:rFonts w:ascii="Arial" w:hAnsi="Arial" w:eastAsia="黑体" w:cs="Arial"/>
      <w:b/>
      <w:bCs/>
      <w:kern w:val="44"/>
      <w:sz w:val="32"/>
      <w:szCs w:val="32"/>
      <w:lang w:bidi="ar-SA"/>
    </w:rPr>
  </w:style>
  <w:style w:type="paragraph" w:customStyle="1" w:styleId="33">
    <w:name w:val="致谢正文"/>
    <w:next w:val="1"/>
    <w:uiPriority w:val="0"/>
    <w:pPr>
      <w:keepNext w:val="0"/>
      <w:keepLines w:val="0"/>
      <w:pageBreakBefore w:val="0"/>
      <w:widowControl w:val="0"/>
      <w:kinsoku/>
      <w:wordWrap/>
      <w:overflowPunct/>
      <w:topLinePunct w:val="0"/>
      <w:autoSpaceDE/>
      <w:autoSpaceDN/>
      <w:bidi w:val="0"/>
      <w:adjustRightInd w:val="0"/>
      <w:spacing w:beforeAutospacing="0" w:afterAutospacing="0" w:line="400" w:lineRule="exact"/>
      <w:ind w:left="0" w:leftChars="0" w:firstLine="480" w:firstLineChars="200"/>
      <w:jc w:val="both"/>
      <w:textAlignment w:val="auto"/>
      <w:outlineLvl w:val="9"/>
    </w:pPr>
    <w:rPr>
      <w:rFonts w:ascii="Times New Roman" w:hAnsi="Times New Roman" w:eastAsia="宋体" w:cs="Times New Roman"/>
      <w:kern w:val="2"/>
      <w:sz w:val="24"/>
      <w:szCs w:val="24"/>
    </w:rPr>
  </w:style>
  <w:style w:type="paragraph" w:customStyle="1" w:styleId="34">
    <w:name w:val="致谢标题"/>
    <w:next w:val="1"/>
    <w:uiPriority w:val="0"/>
    <w:pPr>
      <w:widowControl/>
      <w:adjustRightInd w:val="0"/>
      <w:spacing w:before="360" w:beforeAutospacing="0" w:after="240" w:afterAutospacing="0" w:line="240" w:lineRule="auto"/>
      <w:ind w:right="0" w:rightChars="0"/>
      <w:jc w:val="center"/>
      <w:outlineLvl w:val="0"/>
    </w:pPr>
    <w:rPr>
      <w:rFonts w:ascii="Arial" w:hAnsi="Arial" w:eastAsia="黑体" w:cs="Arial"/>
      <w:color w:val="000000"/>
      <w:kern w:val="44"/>
      <w:sz w:val="28"/>
      <w:szCs w:val="28"/>
      <w:lang w:bidi="ar-SA"/>
    </w:rPr>
  </w:style>
  <w:style w:type="paragraph" w:customStyle="1" w:styleId="35">
    <w:name w:val="参考文献条目"/>
    <w:next w:val="1"/>
    <w:uiPriority w:val="0"/>
    <w:pPr>
      <w:keepNext w:val="0"/>
      <w:keepLines w:val="0"/>
      <w:pageBreakBefore w:val="0"/>
      <w:widowControl w:val="0"/>
      <w:tabs>
        <w:tab w:val="left" w:pos="0"/>
      </w:tabs>
      <w:kinsoku/>
      <w:wordWrap w:val="0"/>
      <w:overflowPunct/>
      <w:topLinePunct w:val="0"/>
      <w:autoSpaceDE/>
      <w:autoSpaceDN/>
      <w:bidi w:val="0"/>
      <w:adjustRightInd w:val="0"/>
      <w:spacing w:beforeAutospacing="0" w:afterAutospacing="0" w:line="240" w:lineRule="auto"/>
      <w:ind w:left="480" w:leftChars="0" w:right="0" w:rightChars="0" w:hanging="480" w:hangingChars="200"/>
      <w:jc w:val="both"/>
      <w:textAlignment w:val="auto"/>
      <w:outlineLvl w:val="9"/>
    </w:pPr>
    <w:rPr>
      <w:rFonts w:ascii="Times New Roman" w:hAnsi="Times New Roman" w:eastAsia="宋体" w:cs="Times New Roman"/>
      <w:kern w:val="2"/>
      <w:sz w:val="24"/>
      <w:szCs w:val="24"/>
    </w:rPr>
  </w:style>
  <w:style w:type="paragraph" w:customStyle="1" w:styleId="36">
    <w:name w:val="参考文献标题"/>
    <w:next w:val="1"/>
    <w:uiPriority w:val="0"/>
    <w:pPr>
      <w:widowControl w:val="0"/>
      <w:adjustRightInd w:val="0"/>
      <w:spacing w:before="360" w:beforeAutospacing="0" w:after="240" w:afterAutospacing="0" w:line="240" w:lineRule="auto"/>
      <w:ind w:left="0" w:leftChars="0" w:right="0" w:rightChars="0" w:firstLine="0" w:firstLineChars="0"/>
      <w:jc w:val="center"/>
      <w:outlineLvl w:val="0"/>
    </w:pPr>
    <w:rPr>
      <w:rFonts w:ascii="Arial" w:hAnsi="Arial" w:eastAsia="黑体" w:cs="Arial"/>
      <w:color w:val="000000"/>
      <w:kern w:val="44"/>
      <w:sz w:val="28"/>
      <w:szCs w:val="28"/>
      <w:lang w:bidi="ar-SA"/>
    </w:rPr>
  </w:style>
  <w:style w:type="paragraph" w:customStyle="1" w:styleId="37">
    <w:name w:val="英文摘要正文"/>
    <w:next w:val="1"/>
    <w:uiPriority w:val="0"/>
    <w:pPr>
      <w:keepNext w:val="0"/>
      <w:keepLines w:val="0"/>
      <w:pageBreakBefore w:val="0"/>
      <w:widowControl w:val="0"/>
      <w:tabs>
        <w:tab w:val="left" w:pos="2279"/>
      </w:tabs>
      <w:kinsoku/>
      <w:wordWrap/>
      <w:overflowPunct/>
      <w:topLinePunct w:val="0"/>
      <w:autoSpaceDE/>
      <w:autoSpaceDN/>
      <w:bidi w:val="0"/>
      <w:adjustRightInd w:val="0"/>
      <w:spacing w:line="400" w:lineRule="exact"/>
      <w:ind w:firstLine="480" w:firstLineChars="200"/>
      <w:jc w:val="both"/>
      <w:textAlignment w:val="auto"/>
      <w:outlineLvl w:val="9"/>
    </w:pPr>
    <w:rPr>
      <w:rFonts w:ascii="Times New Roman" w:hAnsi="Times New Roman" w:eastAsia="宋体" w:cs="Times New Roman"/>
      <w:kern w:val="2"/>
      <w:sz w:val="24"/>
      <w:szCs w:val="24"/>
    </w:rPr>
  </w:style>
  <w:style w:type="paragraph" w:customStyle="1" w:styleId="38">
    <w:name w:val="英文关键词正文"/>
    <w:next w:val="1"/>
    <w:uiPriority w:val="0"/>
    <w:pPr>
      <w:keepNext w:val="0"/>
      <w:keepLines w:val="0"/>
      <w:pageBreakBefore w:val="0"/>
      <w:widowControl w:val="0"/>
      <w:tabs>
        <w:tab w:val="left" w:pos="2279"/>
      </w:tabs>
      <w:kinsoku/>
      <w:wordWrap/>
      <w:overflowPunct/>
      <w:topLinePunct w:val="0"/>
      <w:autoSpaceDE/>
      <w:autoSpaceDN/>
      <w:bidi w:val="0"/>
      <w:adjustRightInd w:val="0"/>
      <w:spacing w:line="400" w:lineRule="exact"/>
      <w:ind w:left="0" w:leftChars="0" w:firstLine="0" w:firstLineChars="0"/>
      <w:jc w:val="both"/>
      <w:textAlignment w:val="auto"/>
      <w:outlineLvl w:val="9"/>
    </w:pPr>
    <w:rPr>
      <w:rFonts w:ascii="Times New Roman" w:hAnsi="Times New Roman" w:eastAsia="宋体" w:cs="Times New Roman"/>
      <w:kern w:val="2"/>
      <w:sz w:val="24"/>
      <w:szCs w:val="24"/>
      <w:lang w:bidi="ar-SA"/>
    </w:rPr>
  </w:style>
  <w:style w:type="character" w:customStyle="1" w:styleId="39">
    <w:name w:val="英文关键词"/>
    <w:uiPriority w:val="0"/>
    <w:rPr>
      <w:rFonts w:ascii="Times New Roman" w:hAnsi="Times New Roman" w:eastAsia="宋体" w:cs="Times New Roman"/>
      <w:b/>
      <w:bCs/>
      <w:spacing w:val="8"/>
      <w:kern w:val="0"/>
      <w:sz w:val="24"/>
      <w:szCs w:val="24"/>
      <w:lang w:bidi="ar-SA"/>
    </w:rPr>
  </w:style>
  <w:style w:type="paragraph" w:customStyle="1" w:styleId="40">
    <w:name w:val="英文摘要标题"/>
    <w:next w:val="1"/>
    <w:uiPriority w:val="0"/>
    <w:pPr>
      <w:widowControl w:val="0"/>
      <w:autoSpaceDE w:val="0"/>
      <w:autoSpaceDN w:val="0"/>
      <w:adjustRightInd w:val="0"/>
      <w:spacing w:beforeLines="200" w:beforeAutospacing="0" w:afterLines="100" w:afterAutospacing="0" w:line="240" w:lineRule="auto"/>
      <w:ind w:left="0" w:leftChars="0" w:right="0" w:rightChars="0" w:firstLine="0" w:firstLineChars="0"/>
      <w:jc w:val="center"/>
      <w:outlineLvl w:val="9"/>
    </w:pPr>
    <w:rPr>
      <w:rFonts w:ascii="Times New Roman" w:hAnsi="Times New Roman" w:eastAsia="黑体" w:cs="Times New Roman"/>
      <w:b/>
      <w:bCs/>
      <w:kern w:val="2"/>
      <w:sz w:val="32"/>
      <w:szCs w:val="32"/>
      <w:shd w:val="clear" w:color="auto" w:fill="FFFFFF"/>
      <w:lang w:bidi="ar-SA"/>
    </w:rPr>
  </w:style>
  <w:style w:type="paragraph" w:customStyle="1" w:styleId="41">
    <w:name w:val="表格"/>
    <w:next w:val="1"/>
    <w:uiPriority w:val="0"/>
    <w:pPr>
      <w:keepNext w:val="0"/>
      <w:keepLines w:val="0"/>
      <w:pageBreakBefore w:val="0"/>
      <w:widowControl w:val="0"/>
      <w:tabs>
        <w:tab w:val="left" w:pos="3423"/>
      </w:tabs>
      <w:kinsoku/>
      <w:wordWrap/>
      <w:overflowPunct/>
      <w:topLinePunct w:val="0"/>
      <w:autoSpaceDE/>
      <w:autoSpaceDN/>
      <w:bidi w:val="0"/>
      <w:adjustRightInd w:val="0"/>
      <w:spacing w:beforeAutospacing="0" w:afterAutospacing="0" w:line="360" w:lineRule="auto"/>
      <w:ind w:left="0" w:leftChars="0" w:right="0" w:rightChars="0" w:firstLine="0" w:firstLineChars="0"/>
      <w:jc w:val="center"/>
      <w:textAlignment w:val="auto"/>
      <w:outlineLvl w:val="9"/>
    </w:pPr>
    <w:rPr>
      <w:rFonts w:ascii="Times New Roman" w:hAnsi="Times New Roman" w:eastAsia="宋体" w:cs="Times New Roman"/>
      <w:color w:val="000000"/>
      <w:kern w:val="2"/>
      <w:sz w:val="24"/>
      <w:szCs w:val="21"/>
      <w:lang w:bidi="ar-SA"/>
    </w:rPr>
  </w:style>
  <w:style w:type="paragraph" w:customStyle="1" w:styleId="42">
    <w:name w:val="目录标题"/>
    <w:next w:val="1"/>
    <w:uiPriority w:val="0"/>
    <w:pPr>
      <w:keepNext w:val="0"/>
      <w:keepLines w:val="0"/>
      <w:pageBreakBefore w:val="0"/>
      <w:widowControl/>
      <w:kinsoku/>
      <w:wordWrap/>
      <w:overflowPunct/>
      <w:topLinePunct w:val="0"/>
      <w:autoSpaceDE/>
      <w:autoSpaceDN/>
      <w:bidi w:val="0"/>
      <w:adjustRightInd w:val="0"/>
      <w:spacing w:beforeLines="200" w:afterLines="100" w:line="240" w:lineRule="auto"/>
      <w:ind w:firstLine="0" w:firstLineChars="0"/>
      <w:jc w:val="center"/>
      <w:textAlignment w:val="auto"/>
      <w:outlineLvl w:val="9"/>
    </w:pPr>
    <w:rPr>
      <w:rFonts w:ascii="Arial" w:hAnsi="Arial" w:eastAsia="黑体" w:cs="Arial"/>
      <w:b/>
      <w:bCs/>
      <w:color w:val="000000"/>
      <w:kern w:val="0"/>
      <w:sz w:val="32"/>
      <w:szCs w:val="32"/>
      <w:lang w:bidi="ar-SA"/>
    </w:rPr>
  </w:style>
  <w:style w:type="paragraph" w:customStyle="1" w:styleId="43">
    <w:name w:val="表格标题"/>
    <w:next w:val="1"/>
    <w:uiPriority w:val="0"/>
    <w:pPr>
      <w:keepNext w:val="0"/>
      <w:keepLines w:val="0"/>
      <w:pageBreakBefore w:val="0"/>
      <w:widowControl w:val="0"/>
      <w:tabs>
        <w:tab w:val="left" w:pos="3423"/>
      </w:tabs>
      <w:kinsoku/>
      <w:wordWrap/>
      <w:overflowPunct/>
      <w:topLinePunct w:val="0"/>
      <w:autoSpaceDE/>
      <w:autoSpaceDN/>
      <w:bidi w:val="0"/>
      <w:adjustRightInd w:val="0"/>
      <w:spacing w:before="120" w:beforeAutospacing="0" w:after="120" w:afterAutospacing="0" w:line="400" w:lineRule="exact"/>
      <w:ind w:left="0" w:leftChars="0" w:right="0" w:rightChars="0" w:firstLine="0" w:firstLineChars="0"/>
      <w:jc w:val="center"/>
      <w:textAlignment w:val="auto"/>
      <w:outlineLvl w:val="9"/>
    </w:pPr>
    <w:rPr>
      <w:rFonts w:ascii="Arial" w:hAnsi="Arial" w:eastAsia="黑体" w:cs="Arial"/>
      <w:color w:val="000000"/>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2026-01-16T16:34:00Z</dcterms:created>
  <dc:creator>王嘉绪</dc:creator>
  <cp:lastModifiedBy>王嘉绪</cp:lastModifiedBy>
  <dcterms:modified xsi:type="dcterms:W3CDTF">2026-04-15T20:43:24Z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423C58DF79A1537BFF4A68698B034FF6_43</vt:lpwstr>
  </property>
</Properties>
</file>