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30" w:firstLineChars="1300"/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Vinci产品机制</w:t>
      </w:r>
    </w:p>
    <w:p>
      <w:pPr>
        <w:ind w:firstLine="2730" w:firstLineChars="1300"/>
        <w:rPr>
          <w:rFonts w:hint="default" w:ascii="PingFang SC Regular" w:hAnsi="PingFang SC Regular" w:eastAsia="PingFang SC Regular" w:cs="PingFang SC Regular"/>
          <w:sz w:val="21"/>
          <w:szCs w:val="21"/>
          <w:lang w:val="en-US" w:eastAsia="zh-Hans"/>
        </w:rPr>
      </w:pPr>
    </w:p>
    <w:p>
      <w:pP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darkGreen"/>
          <w:shd w:val="clear" w:color="auto" w:fill="auto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darkGreen"/>
          <w:shd w:val="clear" w:color="auto" w:fill="auto"/>
          <w:lang w:val="en-US" w:eastAsia="zh-Hans"/>
          <w14:textFill>
            <w14:solidFill>
              <w14:schemeClr w14:val="bg1"/>
            </w14:solidFill>
          </w14:textFill>
        </w:rPr>
        <w:t>借贷流程：</w:t>
      </w:r>
    </w:p>
    <w:p>
      <w:p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shd w:val="clear" w:color="auto" w:fill="auto"/>
          <w:lang w:val="en-US" w:eastAsia="zh-Hans"/>
          <w14:textFill>
            <w14:solidFill>
              <w14:schemeClr w14:val="tx1"/>
            </w14:solidFill>
          </w14:textFill>
        </w:rPr>
        <w:t>借贷方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质押单个NFT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/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NFT资产包，并对借贷金额提起报价，报价需要DAO投票决定。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投票成功，借贷放可以获得等额ETH的VIC。</w:t>
      </w:r>
    </w:p>
    <w:p>
      <w:p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投票失败，借贷方无法获得任何收益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</w:p>
    <w:p>
      <w:pP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darkGreen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darkGreen"/>
          <w:lang w:val="en-US" w:eastAsia="zh-Hans"/>
          <w14:textFill>
            <w14:solidFill>
              <w14:schemeClr w14:val="bg1"/>
            </w14:solidFill>
          </w14:textFill>
        </w:rPr>
        <w:t>DAO：</w:t>
      </w:r>
    </w:p>
    <w:p>
      <w:p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机制（借鉴Curve）：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参与 Vinci DAO 治理需要账户拥有投票托管 VIC (veVIC) 余额。veVIC 是一种非标准的 ERC20 实现，在  DAO 中用于确定每个账户的投票权。</w:t>
      </w: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1.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用户需要抵押一定数量的veVIC获取一个投票的名额，暂定为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20000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veVIC，同时用户需要对VIC的质押时间越长，用户获得veVIC越多。</w:t>
      </w:r>
    </w:p>
    <w:p>
      <w:pPr>
        <w:numPr>
          <w:ilvl w:val="0"/>
          <w:numId w:val="0"/>
        </w:numPr>
        <w:rPr>
          <w:rFonts w:hint="default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2.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获得 veVIC 的唯一方法是锁定 VIC。最长锁定时间为四年。一个锁定四年的 VIC 提供一个 veVIC 的初始余额。（锁定时间需要待定）</w:t>
      </w:r>
    </w:p>
    <w:p>
      <w:pPr>
        <w:numPr>
          <w:ilvl w:val="0"/>
          <w:numId w:val="0"/>
        </w:numPr>
        <w:ind w:left="130" w:hanging="210" w:hangingChars="100"/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3.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用户的 veVIC 余额随着 VIC 解锁前剩余时间的减少而线性衰减。例如，锁定一年的 4000 VIC 余额提供与锁定两年的 2000 VIC 或锁定四年的 1000 VIC 相同数量的 veVIC（参考CRV的合约），当用户解锁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/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锁仓时间到期，VeVIC的数量清空。</w:t>
      </w: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4.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在规定时间的质押期内，用户无法解锁VIC，需要在质押结束后才能进行解锁。</w:t>
      </w: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PingFang SC Regular" w:hAnsi="PingFang SC Regular" w:eastAsia="PingFang SC Regular" w:cs="PingFang SC Regular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DAO的借贷投票，需要在DAO现有的成员里随机挑选，为了防止早期的贿赂，官方需要占据初期大部分的节点（超过</w:t>
      </w:r>
      <w:r>
        <w:rPr>
          <w:rFonts w:hint="default" w:ascii="PingFang SC Regular" w:hAnsi="PingFang SC Regular" w:eastAsia="PingFang SC Regular" w:cs="PingFang SC Regular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51%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同时官方获取的收益会部分发放给前期活跃的DAO成员，部分扩充DAO池的规模，防止大规模清算带来的不利影响。</w:t>
      </w: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default" w:ascii="PingFang SC Regular" w:hAnsi="PingFang SC Regular" w:eastAsia="PingFang SC Regular" w:cs="PingFang SC Regular"/>
          <w:color w:val="000000" w:themeColor="text1"/>
          <w:sz w:val="21"/>
          <w:szCs w:val="21"/>
          <w:lang w:eastAsia="zh-Hans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lang w:val="en-US" w:eastAsia="zh-Hans"/>
          <w14:textFill>
            <w14:solidFill>
              <w14:schemeClr w14:val="tx1"/>
            </w14:solidFill>
          </w14:textFill>
        </w:rPr>
        <w:t>在DAO的成员达到一定规模的时候，官方会逐步释放掉现在已有的节点，直至彻底退出投票，并且将节点的代币奖励给前期活跃的DAO用户。</w:t>
      </w: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blue"/>
          <w:lang w:val="en-US" w:eastAsia="zh-Hans"/>
          <w14:textFill>
            <w14:solidFill>
              <w14:schemeClr w14:val="bg1"/>
            </w14:solidFill>
          </w14:textFill>
        </w:rPr>
        <w:t>DAO</w:t>
      </w:r>
      <w:r>
        <w:rPr>
          <w:rFonts w:hint="default" w:ascii="PingFang SC Regular" w:hAnsi="PingFang SC Regular" w:eastAsia="PingFang SC Regular" w:cs="PingFang SC Regular"/>
          <w:color w:val="FFFFFF" w:themeColor="background1"/>
          <w:sz w:val="21"/>
          <w:szCs w:val="21"/>
          <w:highlight w:val="blue"/>
          <w:lang w:eastAsia="zh-Hans"/>
          <w14:textFill>
            <w14:solidFill>
              <w14:schemeClr w14:val="bg1"/>
            </w14:solidFill>
          </w14:textFill>
        </w:rPr>
        <w:t>-</w:t>
      </w: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blue"/>
          <w:lang w:val="en-US" w:eastAsia="zh-Hans"/>
          <w14:textFill>
            <w14:solidFill>
              <w14:schemeClr w14:val="bg1"/>
            </w14:solidFill>
          </w14:textFill>
        </w:rPr>
        <w:t>锁仓获得veVIC比例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br w:type="textWrapping"/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veVIC获取比例为，锁定VIC一年获得等额VIC的</w:t>
      </w:r>
      <w:r>
        <w:rPr>
          <w:rFonts w:hint="default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0.25%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veVIC，锁定</w:t>
      </w:r>
      <w:r>
        <w:rPr>
          <w:rFonts w:hint="default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2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年获得</w:t>
      </w:r>
      <w:r>
        <w:rPr>
          <w:rFonts w:hint="default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50%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Vevic，锁定</w:t>
      </w:r>
      <w:r>
        <w:rPr>
          <w:rFonts w:hint="default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3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年获得</w:t>
      </w:r>
      <w:r>
        <w:rPr>
          <w:rFonts w:hint="default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75%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Vevic，锁定</w:t>
      </w:r>
      <w:r>
        <w:rPr>
          <w:rFonts w:hint="default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4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年获得</w:t>
      </w:r>
      <w:r>
        <w:rPr>
          <w:rFonts w:hint="default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100%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Vevic。</w:t>
      </w: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blue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blue"/>
          <w:lang w:val="en-US" w:eastAsia="zh-Hans"/>
          <w14:textFill>
            <w14:solidFill>
              <w14:schemeClr w14:val="bg1"/>
            </w14:solidFill>
          </w14:textFill>
        </w:rPr>
        <w:t>DAO</w:t>
      </w:r>
      <w:r>
        <w:rPr>
          <w:rFonts w:hint="default" w:ascii="PingFang SC Regular" w:hAnsi="PingFang SC Regular" w:eastAsia="PingFang SC Regular" w:cs="PingFang SC Regular"/>
          <w:color w:val="FFFFFF" w:themeColor="background1"/>
          <w:sz w:val="21"/>
          <w:szCs w:val="21"/>
          <w:highlight w:val="blue"/>
          <w:lang w:eastAsia="zh-Hans"/>
          <w14:textFill>
            <w14:solidFill>
              <w14:schemeClr w14:val="bg1"/>
            </w14:solidFill>
          </w14:textFill>
        </w:rPr>
        <w:t>-</w:t>
      </w: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blue"/>
          <w:lang w:val="en-US" w:eastAsia="zh-Hans"/>
          <w14:textFill>
            <w14:solidFill>
              <w14:schemeClr w14:val="bg1"/>
            </w14:solidFill>
          </w14:textFill>
        </w:rPr>
        <w:t>解锁</w:t>
      </w:r>
      <w:r>
        <w:rPr>
          <w:rFonts w:hint="default" w:ascii="PingFang SC Regular" w:hAnsi="PingFang SC Regular" w:eastAsia="PingFang SC Regular" w:cs="PingFang SC Regular"/>
          <w:color w:val="FFFFFF" w:themeColor="background1"/>
          <w:sz w:val="21"/>
          <w:szCs w:val="21"/>
          <w:highlight w:val="blue"/>
          <w:lang w:eastAsia="zh-Hans"/>
          <w14:textFill>
            <w14:solidFill>
              <w14:schemeClr w14:val="bg1"/>
            </w14:solidFill>
          </w14:textFill>
        </w:rPr>
        <w:t>/</w:t>
      </w: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blue"/>
          <w:lang w:val="en-US" w:eastAsia="zh-Hans"/>
          <w14:textFill>
            <w14:solidFill>
              <w14:schemeClr w14:val="bg1"/>
            </w14:solidFill>
          </w14:textFill>
        </w:rPr>
        <w:t>多次锁定</w:t>
      </w:r>
    </w:p>
    <w:p>
      <w:pPr>
        <w:numPr>
          <w:ilvl w:val="0"/>
          <w:numId w:val="0"/>
        </w:numPr>
        <w:rPr>
          <w:rFonts w:hint="default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t>当用户多次锁定VIC，每次锁定都单独计算veVIC，并且veVIC的数量也是根据单笔锁仓进行计算。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t>自然解锁：用户到期后在需要解除质押，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t>用户强制赎回（存疑）：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eastAsia="zh-Hans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t>用户需要对已经质押的代币发起强制解锁，当用户发起申请的时候，需要一次性扣完该笔质押产生的所有Vevic。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eastAsia="zh-Hans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t>如果用户有多笔质押，也需要多笔质押一起解锁。</w:t>
      </w:r>
      <w:r>
        <w:rPr>
          <w:rFonts w:hint="eastAsia" w:ascii="PingFang SC Regular" w:hAnsi="PingFang SC Regular" w:eastAsia="PingFang SC Regular" w:cs="PingFang SC Regular"/>
          <w:color w:val="000000" w:themeColor="text1"/>
          <w:sz w:val="21"/>
          <w:szCs w:val="21"/>
          <w:highlight w:val="none"/>
          <w:lang w:val="en-US" w:eastAsia="zh-Hans"/>
          <w14:textFill>
            <w14:solidFill>
              <w14:schemeClr w14:val="tx1"/>
            </w14:solidFill>
          </w14:textFill>
        </w:rPr>
        <w:br w:type="textWrapping"/>
      </w: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br w:type="textWrapping"/>
      </w:r>
    </w:p>
    <w:p>
      <w:p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darkGreen"/>
          <w:lang w:val="en-US" w:eastAsia="zh-Hans"/>
          <w14:textFill>
            <w14:solidFill>
              <w14:schemeClr w14:val="bg1"/>
            </w14:solidFill>
          </w14:textFill>
        </w:rPr>
        <w:t>清算：</w:t>
      </w: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darkGreen"/>
          <w:lang w:val="en-US" w:eastAsia="zh-Hans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1.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涉及到清算，DAO需要平摊所有的损失。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2.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如果无法清算，则需要从DAO中扣除一定比例的VIC，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优先扣除官方储存的VIC，如果官方存储数量不足，则扣除DAO的VIC，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相应用户解锁VIC的时候，数量会相应被扣除。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3.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清算的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CN"/>
        </w:rPr>
        <w:t>钱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为借贷金额的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70-80%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br w:type="textWrapping"/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4.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清算根据NFT借贷的金额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*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地板价跌的比例，不只是根据NFT的地板价。</w:t>
      </w:r>
    </w:p>
    <w:p>
      <w:p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</w:p>
    <w:p>
      <w:p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darkGreen"/>
          <w:lang w:val="en-US" w:eastAsia="zh-Hans"/>
          <w14:textFill>
            <w14:solidFill>
              <w14:schemeClr w14:val="bg1"/>
            </w14:solidFill>
          </w14:textFill>
        </w:rPr>
        <w:t>借贷：</w:t>
      </w: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darkGreen"/>
          <w:lang w:val="en-US" w:eastAsia="zh-Hans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1.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引入外部的预言机和稀有度分值，进行系统的估价，对于质押人的借贷上限做一个严格的规定，规定不能超过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eastAsia="zh-Hans"/>
        </w:rPr>
        <w:t>110%，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否则质押人无法发起借贷请求。</w:t>
      </w:r>
    </w:p>
    <w:p>
      <w:pP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例如：BAYC的地板价为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70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ETH，预言机给出的报价为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68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ETH，借贷额度最高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60%，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第三方稀有度估值比一般的BAYC高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30%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br w:type="textWrapping"/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则用户最多可以借到：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eastAsia="zh-Hans"/>
        </w:rPr>
        <w:t>68*1.3*1.1*0.6=58</w:t>
      </w:r>
      <w:r>
        <w:rPr>
          <w:rFonts w:hint="eastAsia" w:ascii="PingFang SC Regular" w:hAnsi="PingFang SC Regular" w:eastAsia="PingFang SC Regular" w:cs="PingFang SC Regular"/>
          <w:color w:val="BF9000" w:themeColor="accent4" w:themeShade="BF"/>
          <w:sz w:val="21"/>
          <w:szCs w:val="21"/>
          <w:lang w:val="en-US" w:eastAsia="zh-Hans"/>
        </w:rPr>
        <w:t>ETH等额的VIC。</w:t>
      </w:r>
    </w:p>
    <w:p>
      <w:pP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外部稀有度参考网站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https://www.openrarity.dev/</w:t>
      </w: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2.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借贷没有时间上限，借贷人在偿还借贷的时候必须将本金和年利一起偿还。</w:t>
      </w: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3.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疑问点：当借贷人质押的NFT价格大幅度上涨，是否还可以继续使用这个NFT借贷？比如BAYC的价格为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1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个ETH，借了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0.6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个ETH等额的VIC，当BAYC的价格变为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2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个ETH，是否可以支持用户继续借到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0.6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个ETH等额的VIC。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</w:p>
    <w:p>
      <w:pPr>
        <w:numPr>
          <w:ilvl w:val="0"/>
          <w:numId w:val="0"/>
        </w:numPr>
        <w:rPr>
          <w:rFonts w:hint="default" w:ascii="PingFang SC Regular" w:hAnsi="PingFang SC Regular" w:eastAsia="PingFang SC Regular" w:cs="PingFang SC Regular"/>
          <w:color w:val="FFFFFF" w:themeColor="background1"/>
          <w:sz w:val="21"/>
          <w:szCs w:val="21"/>
          <w:highlight w:val="darkGreen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darkGreen"/>
          <w:lang w:val="en-US" w:eastAsia="zh-Hans"/>
          <w14:textFill>
            <w14:solidFill>
              <w14:schemeClr w14:val="bg1"/>
            </w14:solidFill>
          </w14:textFill>
        </w:rPr>
        <w:t>拍卖</w:t>
      </w:r>
    </w:p>
    <w:p>
      <w:pPr>
        <w:numPr>
          <w:ilvl w:val="0"/>
          <w:numId w:val="0"/>
        </w:numP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DAO涉及到清算的NFT会被放在VINCI拍卖里进行拍卖，机制为价高者得。拍卖的代币为ETH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/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VIC，如果是ETH，则可以在市面上回购VIC并充值到DAO池子里。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PingFang SC Regular" w:hAnsi="PingFang SC Regular" w:eastAsia="PingFang SC Regular" w:cs="PingFang SC Regular"/>
          <w:sz w:val="21"/>
          <w:szCs w:val="21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PingFang SC Regular" w:hAnsi="PingFang SC Regular" w:eastAsia="PingFang SC Regular" w:cs="PingFang SC Regular"/>
          <w:sz w:val="21"/>
          <w:szCs w:val="21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PingFang SC Regular" w:hAnsi="PingFang SC Regular" w:eastAsia="PingFang SC Regular" w:cs="PingFang SC Regular"/>
          <w:sz w:val="21"/>
          <w:szCs w:val="21"/>
          <w:lang w:val="en-US" w:eastAsia="zh-Hans"/>
        </w:rPr>
      </w:pPr>
      <w:r>
        <w:rPr>
          <w:rFonts w:hint="eastAsia" w:ascii="PingFang SC Regular" w:hAnsi="PingFang SC Regular" w:eastAsia="PingFang SC Regular" w:cs="PingFang SC Regular"/>
          <w:color w:val="FFFFFF" w:themeColor="background1"/>
          <w:sz w:val="21"/>
          <w:szCs w:val="21"/>
          <w:highlight w:val="darkGreen"/>
          <w:lang w:val="en-US" w:eastAsia="zh-Hans"/>
          <w14:textFill>
            <w14:solidFill>
              <w14:schemeClr w14:val="bg1"/>
            </w14:solidFill>
          </w14:textFill>
        </w:rPr>
        <w:t>产品机制未解决问题：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1.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收益发放的时间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由于用户在借贷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-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还款有一段时间，期间投票用户发放收益是在投票结束后就可以发放，还是需要等待借贷结束后才能发放。如果涉及到清算问题，奖励该如何发放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2.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veVIC的数量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veVIC的数量会随着时间的推移慢慢往下降，是需要按照天来计算veVIC的数量，还是按照一个周期来计算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bookmarkStart w:id="0" w:name="_GoBack"/>
      <w:bookmarkEnd w:id="0"/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3.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强制解锁问题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br w:type="textWrapping"/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强制解锁是否有必要存在，比如早期设定锁仓期最长为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1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年的时间，用户获得veVIC的关键时间点为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3-6-9-12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个月。那么是否需要设置用户可以强制解锁。如果锁仓时间和Curve一样设置</w:t>
      </w:r>
      <w:r>
        <w:rPr>
          <w:rFonts w:hint="default" w:ascii="PingFang SC Regular" w:hAnsi="PingFang SC Regular" w:eastAsia="PingFang SC Regular" w:cs="PingFang SC Regular"/>
          <w:sz w:val="21"/>
          <w:szCs w:val="21"/>
          <w:lang w:eastAsia="zh-Hans"/>
        </w:rPr>
        <w:t>1-2-3-4</w:t>
      </w:r>
      <w:r>
        <w:rPr>
          <w:rFonts w:hint="eastAsia" w:ascii="PingFang SC Regular" w:hAnsi="PingFang SC Regular" w:eastAsia="PingFang SC Regular" w:cs="PingFang SC Regular"/>
          <w:sz w:val="21"/>
          <w:szCs w:val="21"/>
          <w:lang w:val="en-US" w:eastAsia="zh-Hans"/>
        </w:rPr>
        <w:t>年，前期的用户是否愿意进来锁仓。</w:t>
      </w:r>
    </w:p>
    <w:p>
      <w:pPr>
        <w:rPr>
          <w:rFonts w:hint="default"/>
          <w:sz w:val="21"/>
          <w:szCs w:val="21"/>
          <w:lang w:val="en-US" w:eastAsia="zh-Hans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 Regular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M2YxYTM2ZjVhMDYyZWU0NjY2NTBlODJlZjVhNDgifQ=="/>
  </w:docVars>
  <w:rsids>
    <w:rsidRoot w:val="A6D76989"/>
    <w:rsid w:val="1B2C7DD7"/>
    <w:rsid w:val="45BD74E5"/>
    <w:rsid w:val="A6D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1424</Words>
  <Characters>1801</Characters>
  <Lines>0</Lines>
  <Paragraphs>0</Paragraphs>
  <TotalTime>19</TotalTime>
  <ScaleCrop>false</ScaleCrop>
  <LinksUpToDate>false</LinksUpToDate>
  <CharactersWithSpaces>1834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2023-03-10T16:01:00Z</dcterms:created>
  <dc:creator>后海大鲨鱼</dc:creator>
  <cp:lastModifiedBy>keep  staying</cp:lastModifiedBy>
  <dcterms:modified xsi:type="dcterms:W3CDTF">2023-05-30T11:46:58Z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542EABE0D7DE41FDB23F6C6F7FBCE407_13</vt:lpwstr>
  </property>
</Properties>
</file>