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jc w:val="center"/>
      </w:pPr>
      <w:r>
        <w:drawing>
          <wp:inline distT="0" distB="0" distL="114300" distR="114300">
            <wp:extent cx="3510915" cy="719455"/>
            <wp:effectExtent l="0" t="0" r="952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after="480" w:line="288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</w:t>
      </w:r>
    </w:p>
    <w:p>
      <w:pPr>
        <w:spacing w:before="480" w:after="480" w:line="288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</w:t>
      </w:r>
    </w:p>
    <w:p>
      <w:pPr>
        <w:spacing w:before="480" w:after="480" w:line="288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计</w:t>
      </w:r>
    </w:p>
    <w:p>
      <w:pPr>
        <w:spacing w:before="480" w:after="480" w:line="288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划</w:t>
      </w:r>
    </w:p>
    <w:p>
      <w:pPr>
        <w:spacing w:before="480" w:after="480" w:line="288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书</w:t>
      </w:r>
    </w:p>
    <w:p>
      <w:pPr>
        <w:spacing w:before="480" w:after="480" w:line="288" w:lineRule="auto"/>
        <w:jc w:val="center"/>
        <w:rPr>
          <w:sz w:val="52"/>
          <w:szCs w:val="52"/>
        </w:rPr>
      </w:pPr>
    </w:p>
    <w:p>
      <w:pPr>
        <w:spacing w:before="480" w:after="480" w:line="288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NFT   Lending</w:t>
      </w:r>
    </w:p>
    <w:p>
      <w:pPr>
        <w:spacing w:before="480" w:after="480" w:line="288" w:lineRule="auto"/>
      </w:pPr>
    </w:p>
    <w:p>
      <w:pPr>
        <w:spacing w:before="480" w:after="480" w:line="288" w:lineRule="auto"/>
      </w:pPr>
    </w:p>
    <w:sdt>
      <w:sdtPr>
        <w:rPr>
          <w:lang w:val="zh-CN"/>
        </w:rPr>
        <w:id w:val="1839575968"/>
        <w:docPartObj>
          <w:docPartGallery w:val="Table of Contents"/>
          <w:docPartUnique/>
        </w:docPartObj>
      </w:sdtPr>
      <w:sdtEndPr>
        <w:rPr>
          <w:rFonts w:ascii="Calibri" w:hAnsi="Calibri" w:eastAsia="宋体" w:cs="Calibri"/>
          <w:b/>
          <w:bCs/>
          <w:color w:val="auto"/>
          <w:sz w:val="21"/>
          <w:szCs w:val="21"/>
          <w:lang w:val="zh-CN"/>
        </w:rPr>
      </w:sdtEndPr>
      <w:sdtContent>
        <w:p>
          <w:pPr>
            <w:pStyle w:val="15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                                                                    </w:t>
          </w:r>
          <w:r>
            <w:rPr>
              <w:rFonts w:hint="eastAsia"/>
              <w:lang w:val="zh-CN"/>
            </w:rPr>
            <w:t>共9页</w:t>
          </w:r>
        </w:p>
        <w:p>
          <w:pPr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 xml:space="preserve"> </w:t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"_Toc136368355"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1、项目名称</w:t>
          </w:r>
          <w:r>
            <w:tab/>
          </w:r>
          <w:r>
            <w:fldChar w:fldCharType="begin"/>
          </w:r>
          <w:r>
            <w:instrText xml:space="preserve"> PAGEREF _Toc136368355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"_Toc136368356"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2、项目概述</w:t>
          </w:r>
          <w:r>
            <w:tab/>
          </w:r>
          <w:r>
            <w:fldChar w:fldCharType="begin"/>
          </w:r>
          <w:r>
            <w:instrText xml:space="preserve"> PAGEREF _Toc136368356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"_Toc136368357"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3、项目目标</w:t>
          </w:r>
          <w:r>
            <w:tab/>
          </w:r>
          <w:r>
            <w:fldChar w:fldCharType="begin"/>
          </w:r>
          <w:r>
            <w:instrText xml:space="preserve"> PAGEREF _Toc136368357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"_Toc136368358"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4、项目可行性研究</w:t>
          </w:r>
          <w:r>
            <w:tab/>
          </w:r>
          <w:r>
            <w:fldChar w:fldCharType="begin"/>
          </w:r>
          <w:r>
            <w:instrText xml:space="preserve"> PAGEREF _Toc136368358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"_Toc136368359"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5、产品流程</w:t>
          </w:r>
          <w:r>
            <w:tab/>
          </w:r>
          <w:r>
            <w:fldChar w:fldCharType="begin"/>
          </w:r>
          <w:r>
            <w:instrText xml:space="preserve"> PAGEREF _Toc136368359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"_Toc136368360"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六、项目风险评估</w:t>
          </w:r>
          <w:r>
            <w:tab/>
          </w:r>
          <w:r>
            <w:fldChar w:fldCharType="begin"/>
          </w:r>
          <w:r>
            <w:instrText xml:space="preserve"> PAGEREF _Toc136368360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"_Toc136368361"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七、项目里程碑</w:t>
          </w:r>
          <w:r>
            <w:tab/>
          </w:r>
          <w:r>
            <w:fldChar w:fldCharType="begin"/>
          </w:r>
          <w:r>
            <w:instrText xml:space="preserve"> PAGEREF _Toc136368361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"_Toc136368362"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八、项目管理方法</w:t>
          </w:r>
          <w:r>
            <w:tab/>
          </w:r>
          <w:r>
            <w:fldChar w:fldCharType="begin"/>
          </w:r>
          <w:r>
            <w:instrText xml:space="preserve"> PAGEREF _Toc136368362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"_Toc136368363"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九、项目进展报告</w:t>
          </w:r>
          <w:r>
            <w:tab/>
          </w:r>
          <w:r>
            <w:fldChar w:fldCharType="begin"/>
          </w:r>
          <w:r>
            <w:instrText xml:space="preserve"> PAGEREF _Toc136368363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"_Toc136368364"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十、项目结束报告</w:t>
          </w:r>
          <w:r>
            <w:tab/>
          </w:r>
          <w:r>
            <w:fldChar w:fldCharType="begin"/>
          </w:r>
          <w:r>
            <w:instrText xml:space="preserve"> PAGEREF _Toc136368364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"_Toc136368365"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十一、项目验收标准</w:t>
          </w:r>
          <w:r>
            <w:tab/>
          </w:r>
          <w:r>
            <w:fldChar w:fldCharType="begin"/>
          </w:r>
          <w:r>
            <w:instrText xml:space="preserve"> PAGEREF _Toc136368365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"_Toc136368366"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十三、项目实施时间</w:t>
          </w:r>
          <w:r>
            <w:tab/>
          </w:r>
          <w:r>
            <w:fldChar w:fldCharType="begin"/>
          </w:r>
          <w:r>
            <w:instrText xml:space="preserve"> PAGEREF _Toc136368366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"_Toc136368367"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十四、项目衡量标准</w:t>
          </w:r>
          <w:r>
            <w:tab/>
          </w:r>
          <w:r>
            <w:fldChar w:fldCharType="begin"/>
          </w:r>
          <w:r>
            <w:instrText xml:space="preserve"> PAGEREF _Toc136368367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"_Toc136368368" </w:instrText>
          </w:r>
          <w:r>
            <w:fldChar w:fldCharType="separate"/>
          </w:r>
          <w:r>
            <w:rPr>
              <w:rStyle w:val="12"/>
              <w:rFonts w:ascii="等线" w:hAnsi="等线" w:eastAsia="等线" w:cs="Arial"/>
              <w:b/>
            </w:rPr>
            <w:t>十五、项目文档管理</w:t>
          </w:r>
          <w:r>
            <w:tab/>
          </w:r>
          <w:r>
            <w:fldChar w:fldCharType="begin"/>
          </w:r>
          <w:r>
            <w:instrText xml:space="preserve"> PAGEREF _Toc136368368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</w:p>
    <w:p>
      <w:pPr>
        <w:spacing w:before="320" w:after="120" w:line="288" w:lineRule="auto"/>
        <w:jc w:val="left"/>
        <w:outlineLvl w:val="1"/>
        <w:rPr>
          <w:rFonts w:hint="eastAsia" w:ascii="等线" w:hAnsi="等线" w:eastAsia="等线" w:cs="Arial"/>
          <w:b/>
          <w:sz w:val="32"/>
          <w:szCs w:val="32"/>
        </w:rPr>
      </w:pPr>
    </w:p>
    <w:p>
      <w:pPr>
        <w:spacing w:before="320" w:after="120" w:line="288" w:lineRule="auto"/>
        <w:jc w:val="left"/>
        <w:outlineLvl w:val="1"/>
      </w:pPr>
      <w:bookmarkStart w:id="0" w:name="_Toc136368179"/>
      <w:bookmarkStart w:id="1" w:name="_Toc136368355"/>
      <w:r>
        <w:rPr>
          <w:rFonts w:hint="eastAsia" w:ascii="等线" w:hAnsi="等线" w:eastAsia="等线" w:cs="Arial"/>
          <w:b/>
          <w:sz w:val="32"/>
          <w:szCs w:val="32"/>
        </w:rPr>
        <w:t>1</w:t>
      </w:r>
      <w:r>
        <w:rPr>
          <w:rFonts w:ascii="等线" w:hAnsi="等线" w:eastAsia="等线" w:cs="Arial"/>
          <w:b/>
          <w:sz w:val="32"/>
          <w:szCs w:val="32"/>
        </w:rPr>
        <w:t>、项目名称</w:t>
      </w:r>
      <w:bookmarkEnd w:id="0"/>
      <w:bookmarkEnd w:id="1"/>
    </w:p>
    <w:p>
      <w:pPr>
        <w:spacing w:before="120" w:after="120" w:line="288" w:lineRule="auto"/>
        <w:ind w:firstLine="420"/>
        <w:jc w:val="left"/>
      </w:pP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质押借贷平台（</w:t>
      </w:r>
      <w:r>
        <w:rPr>
          <w:rFonts w:ascii="Arial" w:hAnsi="Arial" w:eastAsia="等线" w:cs="Arial"/>
          <w:sz w:val="22"/>
          <w:szCs w:val="22"/>
        </w:rPr>
        <w:t>NFTLending</w:t>
      </w:r>
      <w:r>
        <w:rPr>
          <w:rFonts w:ascii="等线" w:hAnsi="等线" w:eastAsia="等线" w:cs="Arial"/>
          <w:sz w:val="22"/>
          <w:szCs w:val="22"/>
        </w:rPr>
        <w:t>）</w:t>
      </w:r>
    </w:p>
    <w:p>
      <w:pPr>
        <w:spacing w:before="320" w:after="120" w:line="288" w:lineRule="auto"/>
        <w:jc w:val="left"/>
        <w:outlineLvl w:val="1"/>
      </w:pPr>
      <w:bookmarkStart w:id="2" w:name="_Toc136368180"/>
      <w:bookmarkStart w:id="3" w:name="_Toc136368356"/>
      <w:r>
        <w:rPr>
          <w:rFonts w:hint="eastAsia" w:ascii="等线" w:hAnsi="等线" w:eastAsia="等线" w:cs="Arial"/>
          <w:b/>
          <w:sz w:val="32"/>
          <w:szCs w:val="32"/>
        </w:rPr>
        <w:t>2</w:t>
      </w:r>
      <w:r>
        <w:rPr>
          <w:rFonts w:ascii="等线" w:hAnsi="等线" w:eastAsia="等线" w:cs="Arial"/>
          <w:b/>
          <w:sz w:val="32"/>
          <w:szCs w:val="32"/>
        </w:rPr>
        <w:t>、项目概述</w:t>
      </w:r>
      <w:bookmarkEnd w:id="2"/>
      <w:bookmarkEnd w:id="3"/>
    </w:p>
    <w:p>
      <w:pPr>
        <w:spacing w:before="120" w:after="120" w:line="288" w:lineRule="auto"/>
        <w:ind w:firstLine="420"/>
        <w:jc w:val="left"/>
      </w:pPr>
      <w:r>
        <w:rPr>
          <w:rFonts w:ascii="等线" w:hAnsi="等线" w:eastAsia="等线" w:cs="Arial"/>
          <w:sz w:val="22"/>
          <w:szCs w:val="22"/>
        </w:rPr>
        <w:t>本项目是一款基于区块链技术的</w:t>
      </w: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质押借贷平台，旨在为用户提供</w:t>
      </w: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质押借贷服务。本平台的主体包括三个部分：</w:t>
      </w:r>
      <w:r>
        <w:rPr>
          <w:rFonts w:ascii="Arial" w:hAnsi="Arial" w:eastAsia="等线" w:cs="Arial"/>
          <w:sz w:val="22"/>
          <w:szCs w:val="22"/>
        </w:rPr>
        <w:t>NFTHolder</w:t>
      </w:r>
      <w:r>
        <w:rPr>
          <w:rFonts w:ascii="等线" w:hAnsi="等线" w:eastAsia="等线" w:cs="Arial"/>
          <w:sz w:val="22"/>
          <w:szCs w:val="22"/>
        </w:rPr>
        <w:t>、估价</w:t>
      </w:r>
      <w:r>
        <w:rPr>
          <w:rFonts w:ascii="Arial" w:hAnsi="Arial" w:eastAsia="等线" w:cs="Arial"/>
          <w:sz w:val="22"/>
          <w:szCs w:val="22"/>
        </w:rPr>
        <w:t>DAO</w:t>
      </w:r>
      <w:r>
        <w:rPr>
          <w:rFonts w:ascii="等线" w:hAnsi="等线" w:eastAsia="等线" w:cs="Arial"/>
          <w:sz w:val="22"/>
          <w:szCs w:val="22"/>
        </w:rPr>
        <w:t>和</w:t>
      </w:r>
      <w:r>
        <w:rPr>
          <w:rFonts w:ascii="Arial" w:hAnsi="Arial" w:eastAsia="等线" w:cs="Arial"/>
          <w:sz w:val="22"/>
          <w:szCs w:val="22"/>
        </w:rPr>
        <w:t>LP</w:t>
      </w:r>
      <w:r>
        <w:rPr>
          <w:rFonts w:ascii="等线" w:hAnsi="等线" w:eastAsia="等线" w:cs="Arial"/>
          <w:sz w:val="22"/>
          <w:szCs w:val="22"/>
        </w:rPr>
        <w:t>，其分别承担了平台运营的核心流程。</w:t>
      </w:r>
    </w:p>
    <w:p>
      <w:pPr>
        <w:spacing w:before="320" w:after="120" w:line="288" w:lineRule="auto"/>
        <w:jc w:val="left"/>
        <w:outlineLvl w:val="1"/>
      </w:pPr>
      <w:bookmarkStart w:id="4" w:name="_Toc136368181"/>
      <w:bookmarkStart w:id="5" w:name="_Toc136368357"/>
      <w:r>
        <w:rPr>
          <w:rFonts w:hint="eastAsia" w:ascii="等线" w:hAnsi="等线" w:eastAsia="等线" w:cs="Arial"/>
          <w:b/>
          <w:sz w:val="32"/>
          <w:szCs w:val="32"/>
        </w:rPr>
        <w:t>3</w:t>
      </w:r>
      <w:r>
        <w:rPr>
          <w:rFonts w:ascii="等线" w:hAnsi="等线" w:eastAsia="等线" w:cs="Arial"/>
          <w:b/>
          <w:sz w:val="32"/>
          <w:szCs w:val="32"/>
        </w:rPr>
        <w:t>、项目目标</w:t>
      </w:r>
      <w:bookmarkEnd w:id="4"/>
      <w:bookmarkEnd w:id="5"/>
    </w:p>
    <w:p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建立一款</w:t>
      </w: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质押借贷平台，为用户提供便捷的服务；</w:t>
      </w:r>
    </w:p>
    <w:p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将</w:t>
      </w: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这一数字资产的质押和借贷业务纳入到借贷市场中，推动数字财富的流动性；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打造一个公平、透明、安全、高效的区块链金融生态系统。</w:t>
      </w: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  <w:bookmarkStart w:id="6" w:name="_Toc136368358"/>
      <w:bookmarkStart w:id="7" w:name="_Toc136368182"/>
      <w:r>
        <w:rPr>
          <w:rFonts w:hint="eastAsia" w:ascii="等线" w:hAnsi="等线" w:eastAsia="等线" w:cs="Arial"/>
          <w:b/>
          <w:sz w:val="32"/>
          <w:szCs w:val="32"/>
        </w:rPr>
        <w:t>4</w:t>
      </w:r>
      <w:r>
        <w:rPr>
          <w:rFonts w:ascii="等线" w:hAnsi="等线" w:eastAsia="等线" w:cs="Arial"/>
          <w:b/>
          <w:sz w:val="32"/>
          <w:szCs w:val="32"/>
        </w:rPr>
        <w:t>、项目可行性研究</w:t>
      </w:r>
      <w:bookmarkEnd w:id="6"/>
      <w:bookmarkEnd w:id="7"/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sz w:val="28"/>
          <w:szCs w:val="28"/>
        </w:rPr>
      </w:pPr>
      <w:r>
        <w:rPr>
          <w:rFonts w:ascii="等线" w:hAnsi="等线" w:eastAsia="等线" w:cs="Arial"/>
          <w:b/>
          <w:sz w:val="28"/>
          <w:szCs w:val="28"/>
        </w:rPr>
        <w:t>4.1.</w:t>
      </w:r>
      <w:r>
        <w:rPr>
          <w:rFonts w:hint="eastAsia" w:ascii="等线" w:hAnsi="等线" w:eastAsia="等线" w:cs="Arial"/>
          <w:b/>
          <w:sz w:val="28"/>
          <w:szCs w:val="28"/>
        </w:rPr>
        <w:t>项目前景</w:t>
      </w:r>
    </w:p>
    <w:p>
      <w:pPr>
        <w:spacing w:before="120" w:after="120" w:line="288" w:lineRule="auto"/>
        <w:ind w:firstLine="440" w:firstLineChars="200"/>
        <w:jc w:val="left"/>
        <w:rPr>
          <w:rFonts w:ascii="等线" w:hAnsi="等线" w:eastAsia="等线" w:cs="Arial"/>
          <w:sz w:val="22"/>
          <w:szCs w:val="22"/>
        </w:rPr>
      </w:pPr>
      <w:r>
        <w:rPr>
          <w:rFonts w:ascii="等线" w:hAnsi="等线" w:eastAsia="等线" w:cs="Arial"/>
          <w:sz w:val="22"/>
          <w:szCs w:val="22"/>
        </w:rPr>
        <w:t>为了解决NFT持有者面临的流动性和资金利用的问题。NFT，即非同质化代币，是一种基于区块链技术的数字资产，具有独特性和不可替代性，例如艺术品、音乐、游戏道具等。然而，虽然NFT的价值可能很高，但持有者可能面临着将其转化为现金或其他数字资产的困难。</w:t>
      </w:r>
    </w:p>
    <w:p>
      <w:pPr>
        <w:spacing w:before="120" w:after="120" w:line="288" w:lineRule="auto"/>
        <w:ind w:firstLine="440" w:firstLineChars="200"/>
        <w:jc w:val="left"/>
        <w:rPr>
          <w:rFonts w:ascii="等线" w:hAnsi="等线" w:eastAsia="等线" w:cs="Arial"/>
          <w:sz w:val="22"/>
          <w:szCs w:val="22"/>
        </w:rPr>
      </w:pPr>
      <w:r>
        <w:rPr>
          <w:rFonts w:ascii="等线" w:hAnsi="等线" w:eastAsia="等线" w:cs="Arial"/>
          <w:sz w:val="22"/>
          <w:szCs w:val="22"/>
        </w:rPr>
        <w:t>NFT抵押平台应运而生</w:t>
      </w:r>
      <w:r>
        <w:rPr>
          <w:rFonts w:hint="eastAsia" w:ascii="等线" w:hAnsi="等线" w:eastAsia="等线" w:cs="Arial"/>
          <w:sz w:val="22"/>
          <w:szCs w:val="22"/>
        </w:rPr>
        <w:t>,</w:t>
      </w:r>
      <w:r>
        <w:rPr>
          <w:rFonts w:ascii="等线" w:hAnsi="等线" w:eastAsia="等线" w:cs="Arial"/>
          <w:sz w:val="22"/>
          <w:szCs w:val="22"/>
        </w:rPr>
        <w:t>这些平台允许NFT持有者将其NFT作为抵押品，并获得相应的借款。通过将NFT作为抵押，持有者可以利用其NFT的价值，而无需出售或转移所有权。这为NFT持有者提供了一种更加灵活的方式来利用其资产，例如获得流动资金、投资其他资产或参与其他金融活动。</w:t>
      </w: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sz w:val="28"/>
          <w:szCs w:val="28"/>
        </w:rPr>
      </w:pPr>
      <w:r>
        <w:rPr>
          <w:rFonts w:hint="eastAsia" w:ascii="等线" w:hAnsi="等线" w:eastAsia="等线" w:cs="Arial"/>
          <w:b/>
          <w:sz w:val="28"/>
          <w:szCs w:val="28"/>
        </w:rPr>
        <w:t>4.2目前对于NFT质押的研究</w:t>
      </w: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  <w:r>
        <w:rPr>
          <w:rFonts w:ascii="等线" w:hAnsi="等线" w:eastAsia="等线" w:cs="Arial"/>
          <w:b/>
          <w:bCs/>
          <w:sz w:val="22"/>
          <w:szCs w:val="22"/>
        </w:rPr>
        <w:t>4.2.1</w:t>
      </w:r>
      <w:r>
        <w:rPr>
          <w:rFonts w:hint="eastAsia" w:ascii="等线" w:hAnsi="等线" w:eastAsia="等线" w:cs="Arial"/>
          <w:b/>
          <w:bCs/>
          <w:sz w:val="22"/>
          <w:szCs w:val="22"/>
        </w:rPr>
        <w:t>中文文献</w:t>
      </w:r>
    </w:p>
    <w:p>
      <w:pPr>
        <w:spacing w:before="120" w:after="120" w:line="288" w:lineRule="auto"/>
        <w:jc w:val="left"/>
      </w:pPr>
      <w:r>
        <w:rPr>
          <w:rFonts w:hint="eastAsia"/>
        </w:rPr>
        <w:drawing>
          <wp:inline distT="0" distB="0" distL="0" distR="0">
            <wp:extent cx="5274310" cy="1299845"/>
            <wp:effectExtent l="0" t="0" r="2540" b="0"/>
            <wp:docPr id="21095075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755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知网</w:t>
      </w:r>
      <w:r>
        <w:rPr>
          <w:rFonts w:hint="eastAsia"/>
        </w:rPr>
        <w:t>关于N</w:t>
      </w:r>
      <w:r>
        <w:t>FT</w:t>
      </w:r>
      <w:r>
        <w:rPr>
          <w:rFonts w:hint="eastAsia"/>
        </w:rPr>
        <w:t>的中文相关文献9</w:t>
      </w:r>
      <w:r>
        <w:t>9</w:t>
      </w:r>
      <w:r>
        <w:rPr>
          <w:rFonts w:hint="eastAsia"/>
        </w:rPr>
        <w:t>项</w:t>
      </w: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  <w:lang w:eastAsia="zh-CN"/>
        </w:rPr>
      </w:pPr>
      <w:r>
        <w:rPr>
          <w:rFonts w:hint="eastAsia" w:ascii="等线" w:hAnsi="等线" w:eastAsia="等线" w:cs="Arial"/>
          <w:b/>
          <w:bCs/>
          <w:sz w:val="22"/>
          <w:szCs w:val="22"/>
          <w:lang w:eastAsia="zh-CN"/>
        </w:rPr>
        <w:drawing>
          <wp:inline distT="0" distB="0" distL="114300" distR="114300">
            <wp:extent cx="5260975" cy="1433195"/>
            <wp:effectExtent l="0" t="0" r="12065" b="14605"/>
            <wp:docPr id="2" name="图片 2" descr="}S[MRU441P[7_[FVNERL%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S[MRU441P[7_[FVNERL%C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维普关于NFT中文相关文献1375项</w:t>
      </w: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  <w:lang w:eastAsia="zh-CN"/>
        </w:rPr>
      </w:pPr>
      <w:r>
        <w:rPr>
          <w:rFonts w:hint="eastAsia" w:ascii="等线" w:hAnsi="等线" w:eastAsia="等线" w:cs="Arial"/>
          <w:b/>
          <w:bCs/>
          <w:sz w:val="22"/>
          <w:szCs w:val="22"/>
        </w:rPr>
        <w:t>4.2.2外文文献</w:t>
      </w:r>
    </w:p>
    <w:p>
      <w:pPr>
        <w:spacing w:before="120" w:after="120" w:line="288" w:lineRule="auto"/>
        <w:jc w:val="left"/>
      </w:pPr>
      <w:r>
        <w:drawing>
          <wp:inline distT="0" distB="0" distL="0" distR="0">
            <wp:extent cx="5265420" cy="2164080"/>
            <wp:effectExtent l="0" t="0" r="0" b="7620"/>
            <wp:docPr id="1823450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0676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</w:pPr>
      <w:r>
        <w:rPr>
          <w:rFonts w:hint="eastAsia"/>
        </w:rPr>
        <w:t>关于N</w:t>
      </w:r>
      <w:r>
        <w:t>FT</w:t>
      </w:r>
      <w:r>
        <w:rPr>
          <w:rFonts w:hint="eastAsia"/>
        </w:rPr>
        <w:t>的相关外文文献4</w:t>
      </w:r>
      <w:r>
        <w:t>273</w:t>
      </w:r>
      <w:r>
        <w:rPr>
          <w:rFonts w:hint="eastAsia"/>
        </w:rPr>
        <w:t>项</w:t>
      </w: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  <w:rPr>
          <w:rFonts w:hint="eastAsia" w:ascii="等线" w:hAnsi="等线" w:eastAsia="等线" w:cs="Arial"/>
          <w:b/>
          <w:bCs/>
          <w:sz w:val="22"/>
          <w:szCs w:val="22"/>
        </w:rPr>
      </w:pPr>
    </w:p>
    <w:p>
      <w:pPr>
        <w:spacing w:before="120" w:after="120" w:line="288" w:lineRule="auto"/>
        <w:jc w:val="left"/>
      </w:pPr>
      <w:r>
        <w:rPr>
          <w:rFonts w:hint="eastAsia" w:ascii="等线" w:hAnsi="等线" w:eastAsia="等线" w:cs="Arial"/>
          <w:b/>
          <w:bCs/>
          <w:sz w:val="22"/>
          <w:szCs w:val="22"/>
        </w:rPr>
        <w:t>4.2.3国内专利</w:t>
      </w:r>
    </w:p>
    <w:p>
      <w:pPr>
        <w:spacing w:before="120" w:after="120" w:line="288" w:lineRule="auto"/>
        <w:jc w:val="left"/>
      </w:pPr>
      <w:r>
        <w:drawing>
          <wp:inline distT="0" distB="0" distL="0" distR="0">
            <wp:extent cx="5274310" cy="1747520"/>
            <wp:effectExtent l="0" t="0" r="2540" b="5080"/>
            <wp:docPr id="11077657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65721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国内专利9</w:t>
      </w:r>
      <w:r>
        <w:t>9</w:t>
      </w:r>
      <w:r>
        <w:rPr>
          <w:rFonts w:hint="eastAsia"/>
        </w:rPr>
        <w:t>项</w:t>
      </w:r>
    </w:p>
    <w:p>
      <w:pPr>
        <w:spacing w:before="120" w:after="120" w:line="288" w:lineRule="auto"/>
        <w:jc w:val="left"/>
      </w:pPr>
    </w:p>
    <w:p>
      <w:pPr>
        <w:spacing w:before="120" w:after="120" w:line="288" w:lineRule="auto"/>
        <w:jc w:val="left"/>
      </w:pPr>
      <w:r>
        <w:rPr>
          <w:rFonts w:hint="eastAsia"/>
        </w:rPr>
        <w:t>基于上述的调查表明，无论是在国内还是国外对N</w:t>
      </w:r>
      <w:r>
        <w:t>FT</w:t>
      </w:r>
      <w:r>
        <w:rPr>
          <w:rFonts w:hint="eastAsia"/>
        </w:rPr>
        <w:t>的关注度都很高，大家对于N</w:t>
      </w:r>
      <w:r>
        <w:t>FT</w:t>
      </w:r>
      <w:r>
        <w:rPr>
          <w:rFonts w:hint="eastAsia"/>
        </w:rPr>
        <w:t>的研究越来越多，越来越深入，N</w:t>
      </w:r>
      <w:r>
        <w:t>FT</w:t>
      </w:r>
      <w:r>
        <w:rPr>
          <w:rFonts w:hint="eastAsia"/>
        </w:rPr>
        <w:t>有广大的市场前景</w:t>
      </w: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  <w:bookmarkStart w:id="8" w:name="_Toc136368183"/>
      <w:bookmarkStart w:id="9" w:name="_Toc136368359"/>
      <w:r>
        <w:rPr>
          <w:rFonts w:hint="eastAsia" w:ascii="等线" w:hAnsi="等线" w:eastAsia="等线" w:cs="Arial"/>
          <w:b/>
          <w:sz w:val="32"/>
          <w:szCs w:val="32"/>
        </w:rPr>
        <w:t>5</w:t>
      </w:r>
      <w:r>
        <w:rPr>
          <w:rFonts w:ascii="等线" w:hAnsi="等线" w:eastAsia="等线" w:cs="Arial"/>
          <w:b/>
          <w:sz w:val="32"/>
          <w:szCs w:val="32"/>
        </w:rPr>
        <w:t>、产品流程</w:t>
      </w:r>
      <w:bookmarkEnd w:id="8"/>
      <w:bookmarkEnd w:id="9"/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sz w:val="28"/>
          <w:szCs w:val="28"/>
        </w:rPr>
      </w:pPr>
      <w:r>
        <w:rPr>
          <w:rFonts w:hint="eastAsia" w:ascii="等线" w:hAnsi="等线" w:eastAsia="等线" w:cs="Arial"/>
          <w:b/>
          <w:sz w:val="28"/>
          <w:szCs w:val="28"/>
        </w:rPr>
        <w:t>5.1 产品的运行流程图：</w:t>
      </w:r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1440180" cy="2834640"/>
            <wp:effectExtent l="0" t="0" r="7620" b="3810"/>
            <wp:docPr id="1267593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3595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sz w:val="28"/>
          <w:szCs w:val="28"/>
        </w:rPr>
      </w:pPr>
      <w:r>
        <w:rPr>
          <w:rFonts w:hint="eastAsia" w:ascii="等线" w:hAnsi="等线" w:eastAsia="等线" w:cs="Arial"/>
          <w:b/>
          <w:sz w:val="28"/>
          <w:szCs w:val="28"/>
        </w:rPr>
        <w:t>5.2平台设计逻辑</w:t>
      </w: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  <w:r>
        <w:rPr>
          <w:rFonts w:hint="eastAsia" w:ascii="等线" w:hAnsi="等线" w:eastAsia="等线" w:cs="Arial"/>
          <w:b/>
          <w:bCs/>
          <w:sz w:val="22"/>
          <w:szCs w:val="22"/>
        </w:rPr>
        <w:t>5.2.1借贷流程</w:t>
      </w:r>
    </w:p>
    <w:p>
      <w:pPr>
        <w:spacing w:before="120" w:after="120" w:line="288" w:lineRule="auto"/>
        <w:jc w:val="center"/>
      </w:pPr>
      <w:r>
        <w:rPr>
          <w:rFonts w:hint="eastAsia"/>
        </w:rPr>
        <w:drawing>
          <wp:inline distT="0" distB="0" distL="114300" distR="114300">
            <wp:extent cx="2410460" cy="2327275"/>
            <wp:effectExtent l="0" t="0" r="12700" b="4445"/>
            <wp:docPr id="1" name="图片 1" descr="质押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质押流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center"/>
      </w:pP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  <w:r>
        <w:rPr>
          <w:rFonts w:hint="eastAsia" w:ascii="等线" w:hAnsi="等线" w:eastAsia="等线" w:cs="Arial"/>
          <w:b/>
          <w:bCs/>
          <w:sz w:val="22"/>
          <w:szCs w:val="22"/>
        </w:rPr>
        <w:t>5.2.2DAO的机制</w:t>
      </w:r>
    </w:p>
    <w:p>
      <w:pPr>
        <w:spacing w:before="120" w:after="120" w:line="288" w:lineRule="auto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注：以下的机制参考</w:t>
      </w:r>
      <w:r>
        <w:rPr>
          <w:rFonts w:hint="eastAsia" w:ascii="PingFang SC Regular" w:hAnsi="PingFang SC Regular" w:eastAsia="PingFang SC Regular" w:cs="PingFang SC Regular"/>
          <w:b/>
          <w:bCs/>
          <w:i/>
          <w:iCs/>
          <w:lang w:eastAsia="zh-Hans"/>
        </w:rPr>
        <w:t>Curve</w:t>
      </w:r>
    </w:p>
    <w:p>
      <w:pPr>
        <w:spacing w:before="120" w:after="120" w:line="288" w:lineRule="auto"/>
        <w:rPr>
          <w:rFonts w:ascii="PingFang SC Regular" w:hAnsi="PingFang SC Regular" w:eastAsia="PingFang SC Regular" w:cs="PingFang SC Regular"/>
          <w:lang w:eastAsia="zh-Hans"/>
        </w:rPr>
      </w:pPr>
      <w:r>
        <w:rPr>
          <w:rFonts w:hint="eastAsia" w:ascii="PingFang SC Regular" w:hAnsi="PingFang SC Regular" w:eastAsia="PingFang SC Regular" w:cs="PingFang SC Regular"/>
        </w:rPr>
        <w:t>veVIC：</w:t>
      </w:r>
      <w:r>
        <w:rPr>
          <w:rFonts w:hint="eastAsia" w:ascii="PingFang SC Regular" w:hAnsi="PingFang SC Regular" w:eastAsia="PingFang SC Regular" w:cs="PingFang SC Regular"/>
          <w:lang w:eastAsia="zh-Hans"/>
        </w:rPr>
        <w:t>参与 Vinci DAO 治理需要账户拥有投票托管 VIC (veVIC) 余额。veVIC 是一种非标准的 ERC20 实现，在 DAO 中用于确定每个账户的投票权。</w:t>
      </w:r>
    </w:p>
    <w:p>
      <w:pPr>
        <w:rPr>
          <w:rFonts w:ascii="PingFang SC Regular" w:hAnsi="PingFang SC Regular" w:eastAsia="PingFang SC Regular" w:cs="PingFang SC Regular"/>
        </w:rPr>
      </w:pPr>
      <w:r>
        <w:rPr>
          <w:rFonts w:ascii="PingFang SC Regular" w:hAnsi="PingFang SC Regular" w:eastAsia="PingFang SC Regular" w:cs="PingFang SC Regular"/>
          <w:lang w:eastAsia="zh-Hans"/>
        </w:rPr>
        <w:t>1.</w:t>
      </w:r>
      <w:r>
        <w:rPr>
          <w:rFonts w:hint="eastAsia" w:ascii="PingFang SC Regular" w:hAnsi="PingFang SC Regular" w:eastAsia="PingFang SC Regular" w:cs="PingFang SC Regular"/>
          <w:lang w:eastAsia="zh-Hans"/>
        </w:rPr>
        <w:t>用户需要抵押一定数量的veVIC获取一个投票的名额，暂定为</w:t>
      </w:r>
      <w:r>
        <w:rPr>
          <w:rFonts w:ascii="PingFang SC Regular" w:hAnsi="PingFang SC Regular" w:eastAsia="PingFang SC Regular" w:cs="PingFang SC Regular"/>
          <w:lang w:eastAsia="zh-Hans"/>
        </w:rPr>
        <w:t>20000</w:t>
      </w:r>
      <w:r>
        <w:rPr>
          <w:rFonts w:hint="eastAsia" w:ascii="PingFang SC Regular" w:hAnsi="PingFang SC Regular" w:eastAsia="PingFang SC Regular" w:cs="PingFang SC Regular"/>
          <w:lang w:eastAsia="zh-Hans"/>
        </w:rPr>
        <w:t>veVIC，同时用户需要对VIC的质押时间越长，用户获得veVIC越多。</w:t>
      </w:r>
      <w:r>
        <w:rPr>
          <w:rFonts w:hint="eastAsia" w:ascii="PingFang SC Regular" w:hAnsi="PingFang SC Regular" w:eastAsia="PingFang SC Regular" w:cs="PingFang SC Regular"/>
          <w:vertAlign w:val="superscript"/>
        </w:rPr>
        <w:t>[1]</w:t>
      </w:r>
    </w:p>
    <w:p>
      <w:pPr>
        <w:rPr>
          <w:rFonts w:ascii="PingFang SC Regular" w:hAnsi="PingFang SC Regular" w:eastAsia="PingFang SC Regular" w:cs="PingFang SC Regular"/>
          <w:lang w:eastAsia="zh-Hans"/>
        </w:rPr>
      </w:pPr>
      <w:r>
        <w:rPr>
          <w:rFonts w:ascii="PingFang SC Regular" w:hAnsi="PingFang SC Regular" w:eastAsia="PingFang SC Regular" w:cs="PingFang SC Regular"/>
          <w:lang w:eastAsia="zh-Hans"/>
        </w:rPr>
        <w:t>2.</w:t>
      </w:r>
      <w:r>
        <w:rPr>
          <w:rFonts w:hint="eastAsia" w:ascii="PingFang SC Regular" w:hAnsi="PingFang SC Regular" w:eastAsia="PingFang SC Regular" w:cs="PingFang SC Regular"/>
          <w:lang w:eastAsia="zh-Hans"/>
        </w:rPr>
        <w:t>获得 veVIC 的唯一方法是锁定 VIC。最长锁定时间为四年。一个锁定四年的 VIC 提供一个 veVIC 的初始余额。（锁定时间</w:t>
      </w:r>
      <w:r>
        <w:rPr>
          <w:rFonts w:hint="eastAsia" w:ascii="PingFang SC Regular" w:hAnsi="PingFang SC Regular" w:eastAsia="PingFang SC Regular" w:cs="PingFang SC Regular"/>
        </w:rPr>
        <w:t>暂时</w:t>
      </w:r>
      <w:r>
        <w:rPr>
          <w:rFonts w:hint="eastAsia" w:ascii="PingFang SC Regular" w:hAnsi="PingFang SC Regular" w:eastAsia="PingFang SC Regular" w:cs="PingFang SC Regular"/>
          <w:lang w:eastAsia="zh-Hans"/>
        </w:rPr>
        <w:t>待定）</w:t>
      </w:r>
    </w:p>
    <w:p>
      <w:pPr>
        <w:ind w:left="210" w:hanging="210" w:hangingChars="100"/>
        <w:rPr>
          <w:rFonts w:ascii="PingFang SC Regular" w:hAnsi="PingFang SC Regular" w:eastAsia="PingFang SC Regular" w:cs="PingFang SC Regular"/>
        </w:rPr>
      </w:pPr>
      <w:r>
        <w:rPr>
          <w:rFonts w:ascii="PingFang SC Regular" w:hAnsi="PingFang SC Regular" w:eastAsia="PingFang SC Regular" w:cs="PingFang SC Regular"/>
          <w:lang w:eastAsia="zh-Hans"/>
        </w:rPr>
        <w:t>3.</w:t>
      </w:r>
      <w:r>
        <w:rPr>
          <w:rFonts w:hint="eastAsia" w:ascii="PingFang SC Regular" w:hAnsi="PingFang SC Regular" w:eastAsia="PingFang SC Regular" w:cs="PingFang SC Regular"/>
          <w:lang w:eastAsia="zh-Hans"/>
        </w:rPr>
        <w:t>用户的 veVIC 余额随着 VIC 解锁前剩余时间的减少而线性衰减。例如，锁定一年的 4000 VIC 余额提供与锁定两年的 2000 VIC 或锁定四年的 1000 VIC 相同数量的 veVIC（参考CRV的合约），当用户解锁</w:t>
      </w:r>
      <w:r>
        <w:rPr>
          <w:rFonts w:ascii="PingFang SC Regular" w:hAnsi="PingFang SC Regular" w:eastAsia="PingFang SC Regular" w:cs="PingFang SC Regular"/>
          <w:lang w:eastAsia="zh-Hans"/>
        </w:rPr>
        <w:t>/</w:t>
      </w:r>
      <w:r>
        <w:rPr>
          <w:rFonts w:hint="eastAsia" w:ascii="PingFang SC Regular" w:hAnsi="PingFang SC Regular" w:eastAsia="PingFang SC Regular" w:cs="PingFang SC Regular"/>
          <w:lang w:eastAsia="zh-Hans"/>
        </w:rPr>
        <w:t>锁仓时间到期，VeVIC的数量清空。</w:t>
      </w:r>
      <w:r>
        <w:rPr>
          <w:rFonts w:hint="eastAsia" w:ascii="PingFang SC Regular" w:hAnsi="PingFang SC Regular" w:eastAsia="PingFang SC Regular" w:cs="PingFang SC Regular"/>
          <w:vertAlign w:val="superscript"/>
        </w:rPr>
        <w:t>[2]</w:t>
      </w:r>
    </w:p>
    <w:p>
      <w:pPr>
        <w:rPr>
          <w:rFonts w:ascii="PingFang SC Regular" w:hAnsi="PingFang SC Regular" w:eastAsia="PingFang SC Regular" w:cs="PingFang SC Regular"/>
          <w:lang w:eastAsia="zh-Hans"/>
        </w:rPr>
      </w:pPr>
      <w:r>
        <w:rPr>
          <w:rFonts w:ascii="PingFang SC Regular" w:hAnsi="PingFang SC Regular" w:eastAsia="PingFang SC Regular" w:cs="PingFang SC Regular"/>
          <w:lang w:eastAsia="zh-Hans"/>
        </w:rPr>
        <w:t>4.</w:t>
      </w:r>
      <w:r>
        <w:rPr>
          <w:rFonts w:hint="eastAsia" w:ascii="PingFang SC Regular" w:hAnsi="PingFang SC Regular" w:eastAsia="PingFang SC Regular" w:cs="PingFang SC Regular"/>
          <w:lang w:eastAsia="zh-Hans"/>
        </w:rPr>
        <w:t>在规定时间的质押期内，用户无法解锁VIC，需要在质押结束后才能进行解锁。</w:t>
      </w:r>
    </w:p>
    <w:p>
      <w:pP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DAO的借贷投票，需要在DAO现有的成员里随机挑选，为了防止早期的贿赂，官方需要占据初期大部分的节点（超过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51%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）同时官方获取的收益会部分发放给前期活跃的DAO成员，部分扩充DAO池的规模，防止大规模清算带来的不利影响。</w:t>
      </w:r>
    </w:p>
    <w:p>
      <w:pP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在DAO的成员达到一定规模的时候，官方会逐步释放掉现在已有的节点，直至彻底退出投票，并且将节点的代币奖励给前期活跃的DAO用户。</w:t>
      </w:r>
    </w:p>
    <w:p>
      <w:pP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  <w:t>相关解释：</w:t>
      </w:r>
    </w:p>
    <w:p>
      <w:pPr>
        <w:numPr>
          <w:ilvl w:val="0"/>
          <w:numId w:val="4"/>
        </w:numP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veVIC获取比例</w:t>
      </w:r>
      <w:r>
        <w:rPr>
          <w:rFonts w:hint="eastAsia"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锁定VIC一年获得等额VIC的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0.25%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veVIC，锁定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年获得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50%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Vevic，锁定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年获得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75%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Vevic，锁定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年获得</w:t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100%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Vevic。</w:t>
      </w:r>
    </w:p>
    <w:p>
      <w:pPr>
        <w:numPr>
          <w:ilvl w:val="0"/>
          <w:numId w:val="4"/>
        </w:num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当用户多次锁定VIC，每次锁定都单独计算veVIC，并且veVIC的数量也是根据单笔锁仓进行计算。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自然解锁：用户到期后在需要解除质押，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用户强制赎回（存疑）：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用户需要对已经质押的代币发起强制解锁，当用户发起申请的时候，需要一次性扣完该笔质押产生的所有Vevic。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如果用户有多笔质押，也需要多笔质押一起解锁。</w:t>
      </w:r>
    </w:p>
    <w:p>
      <w:pPr>
        <w:rPr>
          <w:rFonts w:ascii="PingFang SC Regular" w:hAnsi="PingFang SC Regular" w:eastAsia="PingFang SC Regular" w:cs="PingFang SC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  <w:r>
        <w:rPr>
          <w:rFonts w:hint="eastAsia" w:ascii="等线" w:hAnsi="等线" w:eastAsia="等线" w:cs="Arial"/>
          <w:b/>
          <w:bCs/>
          <w:sz w:val="22"/>
          <w:szCs w:val="22"/>
        </w:rPr>
        <w:t>5.2.3</w:t>
      </w:r>
    </w:p>
    <w:p>
      <w:pPr>
        <w:spacing w:before="120" w:after="120" w:line="288" w:lineRule="auto"/>
        <w:jc w:val="left"/>
        <w:rPr>
          <w:rFonts w:ascii="等线" w:hAnsi="等线" w:eastAsia="等线" w:cs="Arial"/>
          <w:b/>
          <w:bCs/>
          <w:sz w:val="22"/>
          <w:szCs w:val="22"/>
        </w:rPr>
      </w:pPr>
      <w:r>
        <w:rPr>
          <w:rFonts w:hint="eastAsia" w:ascii="等线" w:hAnsi="等线" w:eastAsia="等线" w:cs="Arial"/>
          <w:b/>
          <w:bCs/>
          <w:sz w:val="22"/>
          <w:szCs w:val="22"/>
        </w:rPr>
        <w:t>清算</w:t>
      </w:r>
    </w:p>
    <w:p>
      <w:p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PingFang SC Regular" w:hAnsi="PingFang SC Regular" w:eastAsia="PingFang SC Regular" w:cs="PingFang SC Regular"/>
          <w:lang w:eastAsia="zh-Hans"/>
        </w:rPr>
      </w:pPr>
      <w:r>
        <w:rPr>
          <w:rFonts w:hint="eastAsia" w:ascii="PingFang SC Regular" w:hAnsi="PingFang SC Regular" w:eastAsia="PingFang SC Regular" w:cs="PingFang SC Regular"/>
          <w:lang w:eastAsia="zh-Hans"/>
        </w:rPr>
        <w:t>1.涉及到清算，DAO需要平摊所有的损失。</w:t>
      </w:r>
      <w:r>
        <w:rPr>
          <w:rFonts w:hint="eastAsia" w:ascii="PingFang SC Regular" w:hAnsi="PingFang SC Regular" w:eastAsia="PingFang SC Regular" w:cs="PingFang SC Regular"/>
          <w:lang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lang w:eastAsia="zh-Hans"/>
        </w:rPr>
        <w:t>2.如果无法清算，则需要从DAO中扣除一定比例的VIC，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lang w:eastAsia="zh-Hans"/>
        </w:rPr>
        <w:t>优先扣除官方储存的VIC，如果官方存储数量不足，则扣除DAO的VIC，</w:t>
      </w:r>
      <w:r>
        <w:rPr>
          <w:rFonts w:hint="eastAsia" w:ascii="PingFang SC Regular" w:hAnsi="PingFang SC Regular" w:eastAsia="PingFang SC Regular" w:cs="PingFang SC Regular"/>
          <w:lang w:eastAsia="zh-Hans"/>
        </w:rPr>
        <w:t>相应用户解锁VIC的时候，数量会相应被扣除。</w:t>
      </w:r>
      <w:r>
        <w:rPr>
          <w:rFonts w:hint="eastAsia" w:ascii="PingFang SC Regular" w:hAnsi="PingFang SC Regular" w:eastAsia="PingFang SC Regular" w:cs="PingFang SC Regular"/>
          <w:lang w:eastAsia="zh-Hans"/>
        </w:rPr>
        <w:br w:type="textWrapping"/>
      </w:r>
      <w:r>
        <w:rPr>
          <w:rFonts w:ascii="PingFang SC Regular" w:hAnsi="PingFang SC Regular" w:eastAsia="PingFang SC Regular" w:cs="PingFang SC Regular"/>
          <w:lang w:eastAsia="zh-Hans"/>
        </w:rPr>
        <w:t>3.</w:t>
      </w:r>
      <w:r>
        <w:rPr>
          <w:rFonts w:hint="eastAsia" w:ascii="PingFang SC Regular" w:hAnsi="PingFang SC Regular" w:eastAsia="PingFang SC Regular" w:cs="PingFang SC Regular"/>
          <w:lang w:eastAsia="zh-Hans"/>
        </w:rPr>
        <w:t>清算的</w:t>
      </w:r>
      <w:r>
        <w:rPr>
          <w:rFonts w:hint="eastAsia" w:ascii="PingFang SC Regular" w:hAnsi="PingFang SC Regular" w:eastAsia="PingFang SC Regular" w:cs="PingFang SC Regular"/>
        </w:rPr>
        <w:t>钱</w:t>
      </w:r>
      <w:r>
        <w:rPr>
          <w:rFonts w:hint="eastAsia" w:ascii="PingFang SC Regular" w:hAnsi="PingFang SC Regular" w:eastAsia="PingFang SC Regular" w:cs="PingFang SC Regular"/>
          <w:lang w:eastAsia="zh-Hans"/>
        </w:rPr>
        <w:t>为借贷金额的</w:t>
      </w:r>
      <w:r>
        <w:rPr>
          <w:rFonts w:ascii="PingFang SC Regular" w:hAnsi="PingFang SC Regular" w:eastAsia="PingFang SC Regular" w:cs="PingFang SC Regular"/>
          <w:lang w:eastAsia="zh-Hans"/>
        </w:rPr>
        <w:t>70-80%</w:t>
      </w:r>
      <w:r>
        <w:rPr>
          <w:rFonts w:ascii="PingFang SC Regular" w:hAnsi="PingFang SC Regular" w:eastAsia="PingFang SC Regular" w:cs="PingFang SC Regular"/>
          <w:lang w:eastAsia="zh-Hans"/>
        </w:rPr>
        <w:br w:type="textWrapping"/>
      </w:r>
      <w:r>
        <w:rPr>
          <w:rFonts w:ascii="PingFang SC Regular" w:hAnsi="PingFang SC Regular" w:eastAsia="PingFang SC Regular" w:cs="PingFang SC Regular"/>
          <w:lang w:eastAsia="zh-Hans"/>
        </w:rPr>
        <w:t>4.</w:t>
      </w:r>
      <w:r>
        <w:rPr>
          <w:rFonts w:hint="eastAsia" w:ascii="PingFang SC Regular" w:hAnsi="PingFang SC Regular" w:eastAsia="PingFang SC Regular" w:cs="PingFang SC Regular"/>
          <w:lang w:eastAsia="zh-Hans"/>
        </w:rPr>
        <w:t>清算根据NFT借贷的金额</w:t>
      </w:r>
      <w:r>
        <w:rPr>
          <w:rFonts w:ascii="PingFang SC Regular" w:hAnsi="PingFang SC Regular" w:eastAsia="PingFang SC Regular" w:cs="PingFang SC Regular"/>
          <w:lang w:eastAsia="zh-Hans"/>
        </w:rPr>
        <w:t>*</w:t>
      </w:r>
      <w:r>
        <w:rPr>
          <w:rFonts w:hint="eastAsia" w:ascii="PingFang SC Regular" w:hAnsi="PingFang SC Regular" w:eastAsia="PingFang SC Regular" w:cs="PingFang SC Regular"/>
          <w:lang w:eastAsia="zh-Hans"/>
        </w:rPr>
        <w:t>地板价跌的比例，不只是根据NFT的地板价。</w:t>
      </w:r>
    </w:p>
    <w:p>
      <w:p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4535170"/>
            <wp:effectExtent l="0" t="0" r="1270" b="6350"/>
            <wp:docPr id="3" name="图片 3" descr="清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清算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PingFang SC Regular" w:hAnsi="PingFang SC Regular" w:eastAsia="PingFang SC Regular" w:cs="PingFang SC Regular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320" w:after="120" w:line="288" w:lineRule="auto"/>
        <w:jc w:val="left"/>
        <w:outlineLvl w:val="1"/>
        <w:rPr>
          <w:rFonts w:ascii="等线" w:hAnsi="等线" w:eastAsia="等线" w:cs="Arial"/>
          <w:b/>
          <w:sz w:val="32"/>
          <w:szCs w:val="32"/>
        </w:rPr>
      </w:pPr>
      <w:bookmarkStart w:id="10" w:name="_Toc136368184"/>
      <w:bookmarkStart w:id="11" w:name="_Toc136368360"/>
      <w:r>
        <w:rPr>
          <w:rFonts w:ascii="等线" w:hAnsi="等线" w:eastAsia="等线" w:cs="Arial"/>
          <w:b/>
          <w:sz w:val="32"/>
          <w:szCs w:val="32"/>
        </w:rPr>
        <w:t>六、项目风险评估</w:t>
      </w:r>
      <w:bookmarkEnd w:id="10"/>
      <w:bookmarkEnd w:id="11"/>
    </w:p>
    <w:p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政策风险：政策变化可能影响该平台的正常运转和用户情绪；</w:t>
      </w:r>
    </w:p>
    <w:p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技术风险：智能合约问题可能影响运行安全；</w:t>
      </w:r>
    </w:p>
    <w:p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市场风险：</w:t>
      </w: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价格波动以及市场风向变化等可能对该平台业务产生负面影响；</w:t>
      </w:r>
    </w:p>
    <w:p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治理风险：估价</w:t>
      </w:r>
      <w:r>
        <w:rPr>
          <w:rFonts w:ascii="Arial" w:hAnsi="Arial" w:eastAsia="等线" w:cs="Arial"/>
          <w:sz w:val="22"/>
          <w:szCs w:val="22"/>
        </w:rPr>
        <w:t>DAO</w:t>
      </w:r>
      <w:r>
        <w:rPr>
          <w:rFonts w:ascii="等线" w:hAnsi="等线" w:eastAsia="等线" w:cs="Arial"/>
          <w:sz w:val="22"/>
          <w:szCs w:val="22"/>
        </w:rPr>
        <w:t>的非中心化治理可能导致治理效率低下。</w:t>
      </w:r>
    </w:p>
    <w:p>
      <w:pPr>
        <w:spacing w:before="120" w:after="120" w:line="288" w:lineRule="auto"/>
        <w:jc w:val="left"/>
      </w:pPr>
      <w:r>
        <w:t xml:space="preserve"> </w:t>
      </w:r>
    </w:p>
    <w:p>
      <w:pPr>
        <w:spacing w:before="320" w:after="120" w:line="288" w:lineRule="auto"/>
        <w:jc w:val="left"/>
        <w:outlineLvl w:val="1"/>
      </w:pPr>
      <w:bookmarkStart w:id="12" w:name="_Toc136368361"/>
      <w:bookmarkStart w:id="13" w:name="_Toc136368185"/>
      <w:r>
        <w:rPr>
          <w:rFonts w:ascii="等线" w:hAnsi="等线" w:eastAsia="等线" w:cs="Arial"/>
          <w:b/>
          <w:sz w:val="32"/>
          <w:szCs w:val="32"/>
        </w:rPr>
        <w:t>七、项目里程碑</w:t>
      </w:r>
      <w:bookmarkEnd w:id="12"/>
      <w:bookmarkEnd w:id="13"/>
    </w:p>
    <w:p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完成平台原型设计和开发（</w:t>
      </w:r>
      <w:r>
        <w:rPr>
          <w:rFonts w:ascii="Arial" w:hAnsi="Arial" w:eastAsia="等线" w:cs="Arial"/>
          <w:sz w:val="22"/>
          <w:szCs w:val="22"/>
        </w:rPr>
        <w:t>2023-5-18</w:t>
      </w:r>
      <w:r>
        <w:rPr>
          <w:rFonts w:ascii="等线" w:hAnsi="等线" w:eastAsia="等线" w:cs="Arial"/>
          <w:sz w:val="22"/>
          <w:szCs w:val="22"/>
        </w:rPr>
        <w:t>）；</w:t>
      </w:r>
    </w:p>
    <w:p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解决平台核心技术问题，如智能合约的开发、订单系统的设计等，完成内部测试（</w:t>
      </w:r>
      <w:r>
        <w:rPr>
          <w:rFonts w:ascii="Arial" w:hAnsi="Arial" w:eastAsia="等线" w:cs="Arial"/>
          <w:sz w:val="22"/>
          <w:szCs w:val="22"/>
        </w:rPr>
        <w:t>2023-5-28</w:t>
      </w:r>
      <w:r>
        <w:rPr>
          <w:rFonts w:ascii="等线" w:hAnsi="等线" w:eastAsia="等线" w:cs="Arial"/>
          <w:sz w:val="22"/>
          <w:szCs w:val="22"/>
        </w:rPr>
        <w:t>）；</w:t>
      </w:r>
    </w:p>
    <w:p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完成前期市场宣传和用户获取工作，吸引第一批用户（</w:t>
      </w:r>
      <w:r>
        <w:rPr>
          <w:rFonts w:ascii="Arial" w:hAnsi="Arial" w:eastAsia="等线" w:cs="Arial"/>
          <w:sz w:val="22"/>
          <w:szCs w:val="22"/>
        </w:rPr>
        <w:t>2023</w:t>
      </w:r>
      <w:r>
        <w:rPr>
          <w:rFonts w:ascii="等线" w:hAnsi="等线" w:eastAsia="等线" w:cs="Arial"/>
          <w:sz w:val="22"/>
          <w:szCs w:val="22"/>
        </w:rPr>
        <w:t>年</w:t>
      </w:r>
      <w:r>
        <w:rPr>
          <w:rFonts w:ascii="Arial" w:hAnsi="Arial" w:eastAsia="等线" w:cs="Arial"/>
          <w:sz w:val="22"/>
          <w:szCs w:val="22"/>
        </w:rPr>
        <w:t>6</w:t>
      </w:r>
      <w:r>
        <w:rPr>
          <w:rFonts w:ascii="等线" w:hAnsi="等线" w:eastAsia="等线" w:cs="Arial"/>
          <w:sz w:val="22"/>
          <w:szCs w:val="22"/>
        </w:rPr>
        <w:t>月至</w:t>
      </w:r>
      <w:r>
        <w:rPr>
          <w:rFonts w:ascii="Arial" w:hAnsi="Arial" w:eastAsia="等线" w:cs="Arial"/>
          <w:sz w:val="22"/>
          <w:szCs w:val="22"/>
        </w:rPr>
        <w:t>2022</w:t>
      </w:r>
      <w:r>
        <w:rPr>
          <w:rFonts w:ascii="等线" w:hAnsi="等线" w:eastAsia="等线" w:cs="Arial"/>
          <w:sz w:val="22"/>
          <w:szCs w:val="22"/>
        </w:rPr>
        <w:t>年</w:t>
      </w:r>
      <w:r>
        <w:rPr>
          <w:rFonts w:ascii="Arial" w:hAnsi="Arial" w:eastAsia="等线" w:cs="Arial"/>
          <w:sz w:val="22"/>
          <w:szCs w:val="22"/>
        </w:rPr>
        <w:t>7</w:t>
      </w:r>
      <w:r>
        <w:rPr>
          <w:rFonts w:ascii="等线" w:hAnsi="等线" w:eastAsia="等线" w:cs="Arial"/>
          <w:sz w:val="22"/>
          <w:szCs w:val="22"/>
        </w:rPr>
        <w:t>月）；</w:t>
      </w:r>
    </w:p>
    <w:p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正式推出平台，开展商业运营（</w:t>
      </w:r>
      <w:r>
        <w:rPr>
          <w:rFonts w:ascii="Arial" w:hAnsi="Arial" w:eastAsia="等线" w:cs="Arial"/>
          <w:sz w:val="22"/>
          <w:szCs w:val="22"/>
        </w:rPr>
        <w:t>2023</w:t>
      </w:r>
      <w:r>
        <w:rPr>
          <w:rFonts w:ascii="等线" w:hAnsi="等线" w:eastAsia="等线" w:cs="Arial"/>
          <w:sz w:val="22"/>
          <w:szCs w:val="22"/>
        </w:rPr>
        <w:t>年</w:t>
      </w:r>
      <w:r>
        <w:rPr>
          <w:rFonts w:ascii="Arial" w:hAnsi="Arial" w:eastAsia="等线" w:cs="Arial"/>
          <w:sz w:val="22"/>
          <w:szCs w:val="22"/>
        </w:rPr>
        <w:t>8</w:t>
      </w:r>
      <w:r>
        <w:rPr>
          <w:rFonts w:ascii="等线" w:hAnsi="等线" w:eastAsia="等线" w:cs="Arial"/>
          <w:sz w:val="22"/>
          <w:szCs w:val="22"/>
        </w:rPr>
        <w:t>月）。</w:t>
      </w:r>
    </w:p>
    <w:p>
      <w:pPr>
        <w:spacing w:before="120" w:after="120" w:line="288" w:lineRule="auto"/>
        <w:jc w:val="left"/>
      </w:pPr>
      <w:r>
        <w:t xml:space="preserve"> </w:t>
      </w:r>
    </w:p>
    <w:p>
      <w:pPr>
        <w:spacing w:before="320" w:after="120" w:line="288" w:lineRule="auto"/>
        <w:jc w:val="left"/>
        <w:outlineLvl w:val="1"/>
      </w:pPr>
      <w:bookmarkStart w:id="14" w:name="_Toc136368186"/>
      <w:bookmarkStart w:id="15" w:name="_Toc136368362"/>
      <w:r>
        <w:rPr>
          <w:rFonts w:ascii="等线" w:hAnsi="等线" w:eastAsia="等线" w:cs="Arial"/>
          <w:b/>
          <w:sz w:val="32"/>
          <w:szCs w:val="32"/>
        </w:rPr>
        <w:t>八、项目管理方法</w:t>
      </w:r>
      <w:bookmarkEnd w:id="14"/>
      <w:bookmarkEnd w:id="15"/>
    </w:p>
    <w:p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定期开会，进行项目进展评估；</w:t>
      </w:r>
    </w:p>
    <w:p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项目经理维护项目计划，确保项目顺利进行；</w:t>
      </w:r>
    </w:p>
    <w:p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成立风险评估小组，及时应对机构风险。</w:t>
      </w:r>
    </w:p>
    <w:p>
      <w:pPr>
        <w:spacing w:before="120" w:after="120" w:line="288" w:lineRule="auto"/>
        <w:jc w:val="left"/>
      </w:pPr>
      <w:r>
        <w:t xml:space="preserve"> </w:t>
      </w:r>
    </w:p>
    <w:p>
      <w:pPr>
        <w:spacing w:before="320" w:after="120" w:line="288" w:lineRule="auto"/>
        <w:jc w:val="left"/>
        <w:outlineLvl w:val="1"/>
      </w:pPr>
      <w:bookmarkStart w:id="16" w:name="_Toc136368187"/>
      <w:bookmarkStart w:id="17" w:name="_Toc136368363"/>
      <w:r>
        <w:rPr>
          <w:rFonts w:ascii="等线" w:hAnsi="等线" w:eastAsia="等线" w:cs="Arial"/>
          <w:b/>
          <w:sz w:val="32"/>
          <w:szCs w:val="32"/>
        </w:rPr>
        <w:t>九、项目进展报告</w:t>
      </w:r>
      <w:bookmarkEnd w:id="16"/>
      <w:bookmarkEnd w:id="17"/>
    </w:p>
    <w:p>
      <w:pPr>
        <w:numPr>
          <w:ilvl w:val="0"/>
          <w:numId w:val="16"/>
        </w:numPr>
        <w:spacing w:before="120" w:after="120" w:line="288" w:lineRule="auto"/>
        <w:jc w:val="left"/>
        <w:rPr>
          <w:rFonts w:hint="eastAsia"/>
        </w:rPr>
      </w:pPr>
      <w:r>
        <w:rPr>
          <w:rFonts w:ascii="等线" w:hAnsi="等线" w:eastAsia="等线" w:cs="Arial"/>
          <w:sz w:val="22"/>
          <w:szCs w:val="22"/>
        </w:rPr>
        <w:t>在重要节点，项目经理向所有团队成员提交月度进展报告，以帮助所有人了解项目的进展，并提供改进和优化的建议；</w:t>
      </w:r>
    </w:p>
    <w:p>
      <w:pPr>
        <w:spacing w:before="120" w:after="120" w:line="288" w:lineRule="auto"/>
        <w:jc w:val="left"/>
      </w:pPr>
      <w:r>
        <w:t xml:space="preserve"> </w:t>
      </w:r>
    </w:p>
    <w:p>
      <w:pPr>
        <w:spacing w:before="320" w:after="120" w:line="288" w:lineRule="auto"/>
        <w:jc w:val="left"/>
        <w:outlineLvl w:val="1"/>
      </w:pPr>
      <w:bookmarkStart w:id="18" w:name="_Toc136368364"/>
      <w:bookmarkStart w:id="19" w:name="_Toc136368188"/>
      <w:r>
        <w:rPr>
          <w:rFonts w:ascii="等线" w:hAnsi="等线" w:eastAsia="等线" w:cs="Arial"/>
          <w:b/>
          <w:sz w:val="32"/>
          <w:szCs w:val="32"/>
        </w:rPr>
        <w:t>十、项目结束报告</w:t>
      </w:r>
      <w:bookmarkEnd w:id="18"/>
      <w:bookmarkEnd w:id="19"/>
    </w:p>
    <w:p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整理并提交</w:t>
      </w:r>
      <w:r>
        <w:rPr>
          <w:rFonts w:ascii="Arial" w:hAnsi="Arial" w:eastAsia="等线" w:cs="Arial"/>
          <w:sz w:val="22"/>
          <w:szCs w:val="22"/>
        </w:rPr>
        <w:t>NFTLending</w:t>
      </w:r>
      <w:r>
        <w:rPr>
          <w:rFonts w:ascii="等线" w:hAnsi="等线" w:eastAsia="等线" w:cs="Arial"/>
          <w:sz w:val="22"/>
          <w:szCs w:val="22"/>
        </w:rPr>
        <w:t>项目的结束报告，并将该报告发送给投资者和其他用户；</w:t>
      </w:r>
    </w:p>
    <w:p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评估项目绩效并确定项目的成功度。</w:t>
      </w:r>
    </w:p>
    <w:p>
      <w:pPr>
        <w:spacing w:before="120" w:after="120" w:line="288" w:lineRule="auto"/>
        <w:jc w:val="left"/>
      </w:pPr>
      <w:r>
        <w:t xml:space="preserve"> </w:t>
      </w:r>
    </w:p>
    <w:p>
      <w:pPr>
        <w:spacing w:before="320" w:after="120" w:line="288" w:lineRule="auto"/>
        <w:jc w:val="left"/>
        <w:outlineLvl w:val="1"/>
      </w:pPr>
      <w:bookmarkStart w:id="20" w:name="_Toc136368365"/>
      <w:bookmarkStart w:id="21" w:name="_Toc136368189"/>
      <w:r>
        <w:rPr>
          <w:rFonts w:ascii="等线" w:hAnsi="等线" w:eastAsia="等线" w:cs="Arial"/>
          <w:b/>
          <w:sz w:val="32"/>
          <w:szCs w:val="32"/>
        </w:rPr>
        <w:t>十一、项目验收标准</w:t>
      </w:r>
      <w:bookmarkEnd w:id="20"/>
      <w:bookmarkEnd w:id="21"/>
    </w:p>
    <w:p>
      <w:p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根据</w:t>
      </w:r>
      <w:r>
        <w:rPr>
          <w:rFonts w:ascii="Arial" w:hAnsi="Arial" w:eastAsia="等线" w:cs="Arial"/>
          <w:sz w:val="22"/>
          <w:szCs w:val="22"/>
        </w:rPr>
        <w:t>NFT</w:t>
      </w:r>
      <w:r>
        <w:rPr>
          <w:rFonts w:ascii="等线" w:hAnsi="等线" w:eastAsia="等线" w:cs="Arial"/>
          <w:sz w:val="22"/>
          <w:szCs w:val="22"/>
        </w:rPr>
        <w:t>质押借贷平台的实施方案，若项目能按照计划完成，并通过内部和用户测试，即可视为验收通过。</w:t>
      </w:r>
    </w:p>
    <w:p>
      <w:pPr>
        <w:spacing w:before="120" w:after="120" w:line="288" w:lineRule="auto"/>
        <w:jc w:val="left"/>
      </w:pPr>
      <w:r>
        <w:t xml:space="preserve"> </w:t>
      </w:r>
      <w:bookmarkStart w:id="22" w:name="_Toc136368191"/>
      <w:r>
        <w:rPr>
          <w:rFonts w:ascii="等线" w:hAnsi="等线" w:eastAsia="等线" w:cs="Arial"/>
          <w:b/>
          <w:sz w:val="32"/>
          <w:szCs w:val="32"/>
        </w:rPr>
        <w:t>十</w:t>
      </w:r>
      <w:r>
        <w:rPr>
          <w:rFonts w:hint="eastAsia" w:ascii="等线" w:hAnsi="等线" w:eastAsia="等线" w:cs="Arial"/>
          <w:b/>
          <w:sz w:val="32"/>
          <w:szCs w:val="32"/>
        </w:rPr>
        <w:t>二</w:t>
      </w:r>
      <w:r>
        <w:rPr>
          <w:rFonts w:ascii="等线" w:hAnsi="等线" w:eastAsia="等线" w:cs="Arial"/>
          <w:b/>
          <w:sz w:val="32"/>
          <w:szCs w:val="32"/>
        </w:rPr>
        <w:t>、项目组人员</w:t>
      </w:r>
      <w:bookmarkEnd w:id="22"/>
    </w:p>
    <w:p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项目经理：</w:t>
      </w:r>
      <w:r>
        <w:rPr>
          <w:rFonts w:hint="eastAsia" w:ascii="等线" w:hAnsi="等线" w:eastAsia="等线" w:cs="Arial"/>
          <w:sz w:val="22"/>
          <w:szCs w:val="22"/>
          <w:lang w:val="en-US" w:eastAsia="zh-CN"/>
        </w:rPr>
        <w:t>雍周文</w:t>
      </w:r>
    </w:p>
    <w:p>
      <w:pPr>
        <w:pStyle w:val="13"/>
        <w:numPr>
          <w:ilvl w:val="0"/>
          <w:numId w:val="19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小组成员：</w:t>
      </w:r>
      <w:r>
        <w:rPr>
          <w:rFonts w:hint="eastAsia"/>
          <w:lang w:val="en-US" w:eastAsia="zh-CN"/>
        </w:rPr>
        <w:t>陈思达</w:t>
      </w:r>
      <w:bookmarkStart w:id="29" w:name="_GoBack"/>
      <w:bookmarkEnd w:id="29"/>
      <w:r>
        <w:rPr>
          <w:rFonts w:hint="eastAsia"/>
          <w:lang w:val="en-US" w:eastAsia="zh-CN"/>
        </w:rPr>
        <w:t>，李祥，冯伟，吴畅，房康麟，刘海毅</w:t>
      </w:r>
    </w:p>
    <w:p>
      <w:pPr>
        <w:spacing w:before="320" w:after="120" w:line="288" w:lineRule="auto"/>
        <w:jc w:val="left"/>
        <w:outlineLvl w:val="1"/>
      </w:pPr>
      <w:bookmarkStart w:id="23" w:name="_Toc136368192"/>
      <w:bookmarkStart w:id="24" w:name="_Toc136368366"/>
      <w:r>
        <w:rPr>
          <w:rFonts w:ascii="等线" w:hAnsi="等线" w:eastAsia="等线" w:cs="Arial"/>
          <w:b/>
          <w:sz w:val="32"/>
          <w:szCs w:val="32"/>
        </w:rPr>
        <w:t>十</w:t>
      </w:r>
      <w:r>
        <w:rPr>
          <w:rFonts w:hint="eastAsia" w:ascii="等线" w:hAnsi="等线" w:eastAsia="等线" w:cs="Arial"/>
          <w:b/>
          <w:sz w:val="32"/>
          <w:szCs w:val="32"/>
        </w:rPr>
        <w:t>三</w:t>
      </w:r>
      <w:r>
        <w:rPr>
          <w:rFonts w:ascii="等线" w:hAnsi="等线" w:eastAsia="等线" w:cs="Arial"/>
          <w:b/>
          <w:sz w:val="32"/>
          <w:szCs w:val="32"/>
        </w:rPr>
        <w:t>、项目实施时间</w:t>
      </w:r>
      <w:bookmarkEnd w:id="23"/>
      <w:bookmarkEnd w:id="24"/>
    </w:p>
    <w:p>
      <w:p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项目实施预期时间为</w:t>
      </w:r>
      <w:r>
        <w:rPr>
          <w:rFonts w:ascii="Arial" w:hAnsi="Arial" w:eastAsia="等线" w:cs="Arial"/>
          <w:sz w:val="22"/>
          <w:szCs w:val="22"/>
        </w:rPr>
        <w:t xml:space="preserve"> 2023</w:t>
      </w:r>
      <w:r>
        <w:rPr>
          <w:rFonts w:ascii="等线" w:hAnsi="等线" w:eastAsia="等线" w:cs="Arial"/>
          <w:sz w:val="22"/>
          <w:szCs w:val="22"/>
        </w:rPr>
        <w:t>年</w:t>
      </w:r>
      <w:r>
        <w:rPr>
          <w:rFonts w:ascii="Arial" w:hAnsi="Arial" w:eastAsia="等线" w:cs="Arial"/>
          <w:sz w:val="22"/>
          <w:szCs w:val="22"/>
        </w:rPr>
        <w:t>5</w:t>
      </w:r>
      <w:r>
        <w:rPr>
          <w:rFonts w:ascii="等线" w:hAnsi="等线" w:eastAsia="等线" w:cs="Arial"/>
          <w:sz w:val="22"/>
          <w:szCs w:val="22"/>
        </w:rPr>
        <w:t>月，随着具体实施进度，可能有所调整。</w:t>
      </w:r>
    </w:p>
    <w:p>
      <w:pPr>
        <w:spacing w:before="120" w:after="120" w:line="288" w:lineRule="auto"/>
        <w:jc w:val="left"/>
      </w:pPr>
    </w:p>
    <w:p>
      <w:pPr>
        <w:spacing w:before="320" w:after="120" w:line="288" w:lineRule="auto"/>
        <w:jc w:val="left"/>
        <w:outlineLvl w:val="1"/>
      </w:pPr>
      <w:bookmarkStart w:id="25" w:name="_Toc136368367"/>
      <w:bookmarkStart w:id="26" w:name="_Toc136368193"/>
      <w:r>
        <w:rPr>
          <w:rFonts w:ascii="等线" w:hAnsi="等线" w:eastAsia="等线" w:cs="Arial"/>
          <w:b/>
          <w:sz w:val="32"/>
          <w:szCs w:val="32"/>
        </w:rPr>
        <w:t>十</w:t>
      </w:r>
      <w:r>
        <w:rPr>
          <w:rFonts w:hint="eastAsia" w:ascii="等线" w:hAnsi="等线" w:eastAsia="等线" w:cs="Arial"/>
          <w:b/>
          <w:sz w:val="32"/>
          <w:szCs w:val="32"/>
        </w:rPr>
        <w:t>四</w:t>
      </w:r>
      <w:r>
        <w:rPr>
          <w:rFonts w:ascii="等线" w:hAnsi="等线" w:eastAsia="等线" w:cs="Arial"/>
          <w:b/>
          <w:sz w:val="32"/>
          <w:szCs w:val="32"/>
        </w:rPr>
        <w:t>、项目衡量标准</w:t>
      </w:r>
      <w:bookmarkEnd w:id="25"/>
      <w:bookmarkEnd w:id="26"/>
    </w:p>
    <w:p>
      <w:pPr>
        <w:numPr>
          <w:ilvl w:val="0"/>
          <w:numId w:val="20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用户访问量的增长、使用量的增长；</w:t>
      </w:r>
    </w:p>
    <w:p>
      <w:pPr>
        <w:numPr>
          <w:ilvl w:val="0"/>
          <w:numId w:val="21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项目实现的目标；</w:t>
      </w:r>
    </w:p>
    <w:p>
      <w:pPr>
        <w:numPr>
          <w:ilvl w:val="0"/>
          <w:numId w:val="22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平均每笔交易的数量；</w:t>
      </w:r>
    </w:p>
    <w:p>
      <w:pPr>
        <w:numPr>
          <w:ilvl w:val="0"/>
          <w:numId w:val="23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平均交易金额。</w:t>
      </w:r>
    </w:p>
    <w:p>
      <w:pPr>
        <w:spacing w:before="120" w:after="120" w:line="288" w:lineRule="auto"/>
        <w:jc w:val="left"/>
      </w:pPr>
      <w:r>
        <w:t xml:space="preserve"> </w:t>
      </w:r>
    </w:p>
    <w:p>
      <w:pPr>
        <w:spacing w:before="320" w:after="120" w:line="288" w:lineRule="auto"/>
        <w:jc w:val="left"/>
        <w:outlineLvl w:val="1"/>
      </w:pPr>
      <w:bookmarkStart w:id="27" w:name="_Toc136368194"/>
      <w:bookmarkStart w:id="28" w:name="_Toc136368368"/>
      <w:r>
        <w:rPr>
          <w:rFonts w:ascii="等线" w:hAnsi="等线" w:eastAsia="等线" w:cs="Arial"/>
          <w:b/>
          <w:sz w:val="32"/>
          <w:szCs w:val="32"/>
        </w:rPr>
        <w:t>十</w:t>
      </w:r>
      <w:r>
        <w:rPr>
          <w:rFonts w:hint="eastAsia" w:ascii="等线" w:hAnsi="等线" w:eastAsia="等线" w:cs="Arial"/>
          <w:b/>
          <w:sz w:val="32"/>
          <w:szCs w:val="32"/>
        </w:rPr>
        <w:t>五</w:t>
      </w:r>
      <w:r>
        <w:rPr>
          <w:rFonts w:ascii="等线" w:hAnsi="等线" w:eastAsia="等线" w:cs="Arial"/>
          <w:b/>
          <w:sz w:val="32"/>
          <w:szCs w:val="32"/>
        </w:rPr>
        <w:t>、项目文档管理</w:t>
      </w:r>
      <w:bookmarkEnd w:id="27"/>
      <w:bookmarkEnd w:id="28"/>
    </w:p>
    <w:p>
      <w:pPr>
        <w:numPr>
          <w:ilvl w:val="0"/>
          <w:numId w:val="24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版本控制：</w:t>
      </w:r>
      <w:r>
        <w:rPr>
          <w:rFonts w:ascii="Arial" w:hAnsi="Arial" w:eastAsia="等线" w:cs="Arial"/>
          <w:sz w:val="22"/>
          <w:szCs w:val="22"/>
        </w:rPr>
        <w:t>Git</w:t>
      </w:r>
      <w:r>
        <w:rPr>
          <w:rFonts w:ascii="等线" w:hAnsi="等线" w:eastAsia="等线" w:cs="Arial"/>
          <w:sz w:val="22"/>
          <w:szCs w:val="22"/>
        </w:rPr>
        <w:t>；</w:t>
      </w:r>
    </w:p>
    <w:p>
      <w:pPr>
        <w:numPr>
          <w:ilvl w:val="0"/>
          <w:numId w:val="25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项目日志和任务列表：</w:t>
      </w:r>
      <w:r>
        <w:rPr>
          <w:rFonts w:ascii="Arial" w:hAnsi="Arial" w:eastAsia="等线" w:cs="Arial"/>
          <w:sz w:val="22"/>
          <w:szCs w:val="22"/>
        </w:rPr>
        <w:t>Trello</w:t>
      </w:r>
      <w:r>
        <w:rPr>
          <w:rFonts w:ascii="等线" w:hAnsi="等线" w:eastAsia="等线" w:cs="Arial"/>
          <w:sz w:val="22"/>
          <w:szCs w:val="22"/>
        </w:rPr>
        <w:t>；</w:t>
      </w:r>
    </w:p>
    <w:p>
      <w:pPr>
        <w:numPr>
          <w:ilvl w:val="0"/>
          <w:numId w:val="26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开发问题和版本迭代记录：</w:t>
      </w:r>
      <w:r>
        <w:rPr>
          <w:rFonts w:ascii="Arial" w:hAnsi="Arial" w:eastAsia="等线" w:cs="Arial"/>
          <w:sz w:val="22"/>
          <w:szCs w:val="22"/>
        </w:rPr>
        <w:t>Jira</w:t>
      </w:r>
      <w:r>
        <w:rPr>
          <w:rFonts w:ascii="等线" w:hAnsi="等线" w:eastAsia="等线" w:cs="Arial"/>
          <w:sz w:val="22"/>
          <w:szCs w:val="22"/>
        </w:rPr>
        <w:t>；</w:t>
      </w:r>
    </w:p>
    <w:p>
      <w:pPr>
        <w:numPr>
          <w:ilvl w:val="0"/>
          <w:numId w:val="27"/>
        </w:numPr>
        <w:spacing w:before="120" w:after="120" w:line="288" w:lineRule="auto"/>
        <w:jc w:val="left"/>
      </w:pPr>
      <w:r>
        <w:rPr>
          <w:rFonts w:ascii="等线" w:hAnsi="等线" w:eastAsia="等线" w:cs="Arial"/>
          <w:sz w:val="22"/>
          <w:szCs w:val="22"/>
        </w:rPr>
        <w:t>文档共享：</w:t>
      </w:r>
      <w:r>
        <w:rPr>
          <w:rFonts w:ascii="Arial" w:hAnsi="Arial" w:eastAsia="等线" w:cs="Arial"/>
          <w:sz w:val="22"/>
          <w:szCs w:val="22"/>
        </w:rPr>
        <w:t>Google Drive</w:t>
      </w:r>
      <w:r>
        <w:rPr>
          <w:rFonts w:ascii="等线" w:hAnsi="等线" w:eastAsia="等线" w:cs="Arial"/>
          <w:sz w:val="22"/>
          <w:szCs w:val="22"/>
        </w:rPr>
        <w:t>。</w:t>
      </w:r>
    </w:p>
    <w:p>
      <w:pPr>
        <w:spacing w:before="320" w:after="120" w:line="288" w:lineRule="auto"/>
        <w:jc w:val="left"/>
        <w:outlineLvl w:val="1"/>
      </w:pP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 Regular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84D33"/>
    <w:multiLevelType w:val="multilevel"/>
    <w:tmpl w:val="04584D33"/>
    <w:lvl w:ilvl="0" w:tentative="0">
      <w:start w:val="4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5D50FD"/>
    <w:multiLevelType w:val="multilevel"/>
    <w:tmpl w:val="0D5D50FD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E0A533E"/>
    <w:multiLevelType w:val="multilevel"/>
    <w:tmpl w:val="0E0A533E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EAB61D2"/>
    <w:multiLevelType w:val="multilevel"/>
    <w:tmpl w:val="0EAB61D2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13F5F7C"/>
    <w:multiLevelType w:val="multilevel"/>
    <w:tmpl w:val="113F5F7C"/>
    <w:lvl w:ilvl="0" w:tentative="0">
      <w:start w:val="4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25911B4"/>
    <w:multiLevelType w:val="multilevel"/>
    <w:tmpl w:val="125911B4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7383FEF"/>
    <w:multiLevelType w:val="multilevel"/>
    <w:tmpl w:val="27383FEF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8743627"/>
    <w:multiLevelType w:val="multilevel"/>
    <w:tmpl w:val="28743627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875597B"/>
    <w:multiLevelType w:val="multilevel"/>
    <w:tmpl w:val="2875597B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0FA25D4"/>
    <w:multiLevelType w:val="multilevel"/>
    <w:tmpl w:val="30FA25D4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D150CE5"/>
    <w:multiLevelType w:val="multilevel"/>
    <w:tmpl w:val="3D150CE5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E5F762E"/>
    <w:multiLevelType w:val="multilevel"/>
    <w:tmpl w:val="3E5F762E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E8B0BCA"/>
    <w:multiLevelType w:val="multilevel"/>
    <w:tmpl w:val="3E8B0BCA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AE02D0D"/>
    <w:multiLevelType w:val="multilevel"/>
    <w:tmpl w:val="4AE02D0D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0493604"/>
    <w:multiLevelType w:val="multilevel"/>
    <w:tmpl w:val="50493604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6302C3C"/>
    <w:multiLevelType w:val="multilevel"/>
    <w:tmpl w:val="56302C3C"/>
    <w:lvl w:ilvl="0" w:tentative="0">
      <w:start w:val="4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8B441F3"/>
    <w:multiLevelType w:val="multilevel"/>
    <w:tmpl w:val="58B441F3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5AD5658D"/>
    <w:multiLevelType w:val="multilevel"/>
    <w:tmpl w:val="5AD5658D"/>
    <w:lvl w:ilvl="0" w:tentative="0">
      <w:start w:val="4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B4653AC"/>
    <w:multiLevelType w:val="multilevel"/>
    <w:tmpl w:val="5B4653AC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61170119"/>
    <w:multiLevelType w:val="multilevel"/>
    <w:tmpl w:val="61170119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5EA2132"/>
    <w:multiLevelType w:val="multilevel"/>
    <w:tmpl w:val="65EA2132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6621428A"/>
    <w:multiLevelType w:val="multilevel"/>
    <w:tmpl w:val="6621428A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67840322"/>
    <w:multiLevelType w:val="multilevel"/>
    <w:tmpl w:val="67840322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B8E6657"/>
    <w:multiLevelType w:val="multilevel"/>
    <w:tmpl w:val="6B8E6657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76294856"/>
    <w:multiLevelType w:val="singleLevel"/>
    <w:tmpl w:val="7629485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5">
    <w:nsid w:val="77C80348"/>
    <w:multiLevelType w:val="multilevel"/>
    <w:tmpl w:val="77C80348"/>
    <w:lvl w:ilvl="0" w:tentative="0">
      <w:start w:val="3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C983339"/>
    <w:multiLevelType w:val="multilevel"/>
    <w:tmpl w:val="7C983339"/>
    <w:lvl w:ilvl="0" w:tentative="0">
      <w:start w:val="2"/>
      <w:numFmt w:val="decimal"/>
      <w:lvlText w:val="%1."/>
      <w:lvlJc w:val="left"/>
      <w:pPr>
        <w:ind w:left="0" w:firstLine="0"/>
      </w:pPr>
      <w:rPr>
        <w:rFonts w:hint="default" w:ascii="Times New Roman" w:hAnsi="Times New Roman" w:cs="Times New Roman"/>
        <w:color w:val="3370FF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BmM2YxYTM2ZjVhMDYyZWU0NjY2NTBlODJlZjVhNDgifQ=="/>
  </w:docVars>
  <w:rsids>
    <w:rsidRoot w:val="00E342C2"/>
    <w:rsid w:val="00165345"/>
    <w:rsid w:val="00230CCA"/>
    <w:rsid w:val="00582902"/>
    <w:rsid w:val="005C68A1"/>
    <w:rsid w:val="006A0BD5"/>
    <w:rsid w:val="006A73F2"/>
    <w:rsid w:val="007761D8"/>
    <w:rsid w:val="0087582D"/>
    <w:rsid w:val="009A2E12"/>
    <w:rsid w:val="00AD78E7"/>
    <w:rsid w:val="00AE2C8A"/>
    <w:rsid w:val="00C06B89"/>
    <w:rsid w:val="00C91C8C"/>
    <w:rsid w:val="00D43E44"/>
    <w:rsid w:val="00DD4B59"/>
    <w:rsid w:val="00E342C2"/>
    <w:rsid w:val="00EB71D5"/>
    <w:rsid w:val="00F00A3E"/>
    <w:rsid w:val="00F63C03"/>
    <w:rsid w:val="00F812CA"/>
    <w:rsid w:val="0A7700FC"/>
    <w:rsid w:val="3E480859"/>
    <w:rsid w:val="6F7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szCs w:val="22"/>
    </w:rPr>
  </w:style>
  <w:style w:type="paragraph" w:styleId="4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 w:asciiTheme="minorHAnsi" w:hAnsiTheme="minorHAnsi" w:eastAsiaTheme="minorEastAsia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szCs w:val="22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1"/>
    <w:link w:val="2"/>
    <w:uiPriority w:val="9"/>
    <w:rPr>
      <w:rFonts w:ascii="Calibri" w:hAnsi="Calibri" w:eastAsia="宋体" w:cs="Calibri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日期 字符"/>
    <w:basedOn w:val="11"/>
    <w:link w:val="4"/>
    <w:semiHidden/>
    <w:uiPriority w:val="99"/>
    <w:rPr>
      <w:rFonts w:ascii="Calibri" w:hAnsi="Calibri" w:eastAsia="宋体" w:cs="Calibri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5EF1-D559-44F9-BB8D-734E2F5186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2155</Words>
  <Characters>2534</Characters>
  <Lines>26</Lines>
  <Paragraphs>7</Paragraphs>
  <TotalTime>4</TotalTime>
  <ScaleCrop>false</ScaleCrop>
  <LinksUpToDate>false</LinksUpToDate>
  <CharactersWithSpaces>2695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2023-05-29T12:37:00Z</dcterms:created>
  <dc:creator>刘 海毅</dc:creator>
  <cp:lastModifiedBy>keep  staying</cp:lastModifiedBy>
  <dcterms:modified xsi:type="dcterms:W3CDTF">2023-06-05T14:01:54Z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74404EC7300C4481A2E25949283607E3_12</vt:lpwstr>
  </property>
</Properties>
</file>