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Requirements Table — Pet Adoption &amp; Shelter Management System</w:t>
      </w:r>
    </w:p>
    <w:p>
      <w:pPr>
        <w:spacing w:after="200"/>
      </w:pPr>
      <w:r>
        <w:rPr>
          <w:i/>
          <w:iCs/>
          <w:color w:val="555555"/>
          <w:sz w:val="20"/>
          <w:szCs w:val="20"/>
        </w:rPr>
        <w:t xml:space="preserve">Problem Statement #57 | Media, Events &amp; Community  —  Lab 1: Requirements Engineering &amp; UML Use-Case Modelling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50"/>
        <w:gridCol w:w="1450"/>
        <w:gridCol w:w="3400"/>
        <w:gridCol w:w="950"/>
        <w:gridCol w:w="4150"/>
        <w:gridCol w:w="3700"/>
      </w:tblGrid>
      <w:tr>
        <w:trPr>
          <w:tblHeader/>
        </w:trPr>
        <w:tc>
          <w:tcPr>
            <w:tcW w:type="dxa" w:w="750"/>
            <w:shd w:fill="1F4E79" w:color="auto" w:val="clear"/>
            <w:tcMar>
              <w:top w:type="dxa" w:w="80"/>
              <w:left w:type="dxa" w:w="100"/>
              <w:bottom w:type="dxa" w:w="80"/>
              <w:right w:type="dxa" w:w="100"/>
            </w:tcMar>
            <w:vAlign w:val="center"/>
          </w:tcPr>
          <w:p>
            <w:pPr>
              <w:jc w:val="center"/>
            </w:pPr>
            <w:r>
              <w:rPr>
                <w:b/>
                <w:bCs/>
                <w:color w:val="FFFFFF"/>
                <w:sz w:val="20"/>
                <w:szCs w:val="20"/>
              </w:rPr>
              <w:t xml:space="preserve">Req ID</w:t>
            </w:r>
          </w:p>
        </w:tc>
        <w:tc>
          <w:tcPr>
            <w:tcW w:type="dxa" w:w="1450"/>
            <w:shd w:fill="1F4E79" w:color="auto" w:val="clear"/>
            <w:tcMar>
              <w:top w:type="dxa" w:w="80"/>
              <w:left w:type="dxa" w:w="100"/>
              <w:bottom w:type="dxa" w:w="80"/>
              <w:right w:type="dxa" w:w="100"/>
            </w:tcMar>
            <w:vAlign w:val="center"/>
          </w:tcPr>
          <w:p>
            <w:pPr>
              <w:jc w:val="center"/>
            </w:pPr>
            <w:r>
              <w:rPr>
                <w:b/>
                <w:bCs/>
                <w:color w:val="FFFFFF"/>
                <w:sz w:val="20"/>
                <w:szCs w:val="20"/>
              </w:rPr>
              <w:t xml:space="preserve">Type</w:t>
            </w:r>
          </w:p>
        </w:tc>
        <w:tc>
          <w:tcPr>
            <w:tcW w:type="dxa" w:w="3400"/>
            <w:shd w:fill="1F4E79" w:color="auto" w:val="clear"/>
            <w:tcMar>
              <w:top w:type="dxa" w:w="80"/>
              <w:left w:type="dxa" w:w="100"/>
              <w:bottom w:type="dxa" w:w="80"/>
              <w:right w:type="dxa" w:w="100"/>
            </w:tcMar>
            <w:vAlign w:val="center"/>
          </w:tcPr>
          <w:p>
            <w:pPr>
              <w:jc w:val="center"/>
            </w:pPr>
            <w:r>
              <w:rPr>
                <w:b/>
                <w:bCs/>
                <w:color w:val="FFFFFF"/>
                <w:sz w:val="20"/>
                <w:szCs w:val="20"/>
              </w:rPr>
              <w:t xml:space="preserve">Description</w:t>
            </w:r>
          </w:p>
        </w:tc>
        <w:tc>
          <w:tcPr>
            <w:tcW w:type="dxa" w:w="950"/>
            <w:shd w:fill="1F4E79" w:color="auto" w:val="clear"/>
            <w:tcMar>
              <w:top w:type="dxa" w:w="80"/>
              <w:left w:type="dxa" w:w="100"/>
              <w:bottom w:type="dxa" w:w="80"/>
              <w:right w:type="dxa" w:w="100"/>
            </w:tcMar>
            <w:vAlign w:val="center"/>
          </w:tcPr>
          <w:p>
            <w:pPr>
              <w:jc w:val="center"/>
            </w:pPr>
            <w:r>
              <w:rPr>
                <w:b/>
                <w:bCs/>
                <w:color w:val="FFFFFF"/>
                <w:sz w:val="20"/>
                <w:szCs w:val="20"/>
              </w:rPr>
              <w:t xml:space="preserve">Priority</w:t>
            </w:r>
          </w:p>
        </w:tc>
        <w:tc>
          <w:tcPr>
            <w:tcW w:type="dxa" w:w="4150"/>
            <w:shd w:fill="1F4E79" w:color="auto" w:val="clear"/>
            <w:tcMar>
              <w:top w:type="dxa" w:w="80"/>
              <w:left w:type="dxa" w:w="100"/>
              <w:bottom w:type="dxa" w:w="80"/>
              <w:right w:type="dxa" w:w="100"/>
            </w:tcMar>
            <w:vAlign w:val="center"/>
          </w:tcPr>
          <w:p>
            <w:pPr>
              <w:jc w:val="center"/>
            </w:pPr>
            <w:r>
              <w:rPr>
                <w:b/>
                <w:bCs/>
                <w:color w:val="FFFFFF"/>
                <w:sz w:val="20"/>
                <w:szCs w:val="20"/>
              </w:rPr>
              <w:t xml:space="preserve">Acceptance Criteria</w:t>
            </w:r>
          </w:p>
        </w:tc>
        <w:tc>
          <w:tcPr>
            <w:tcW w:type="dxa" w:w="3700"/>
            <w:shd w:fill="1F4E79" w:color="auto" w:val="clear"/>
            <w:tcMar>
              <w:top w:type="dxa" w:w="80"/>
              <w:left w:type="dxa" w:w="100"/>
              <w:bottom w:type="dxa" w:w="80"/>
              <w:right w:type="dxa" w:w="100"/>
            </w:tcMar>
            <w:vAlign w:val="center"/>
          </w:tcPr>
          <w:p>
            <w:pPr>
              <w:jc w:val="center"/>
            </w:pPr>
            <w:r>
              <w:rPr>
                <w:b/>
                <w:bCs/>
                <w:color w:val="FFFFFF"/>
                <w:sz w:val="20"/>
                <w:szCs w:val="20"/>
              </w:rPr>
              <w:t xml:space="preserve">Rationale</w:t>
            </w:r>
          </w:p>
        </w:tc>
      </w:tr>
      <w:tr>
        <w:trPr>
          <w:tblHeader w:val="false"/>
        </w:trPr>
        <w:tc>
          <w:tcPr>
            <w:tcW w:type="dxa" w:w="750"/>
            <w:tcMar>
              <w:top w:type="dxa" w:w="80"/>
              <w:left w:type="dxa" w:w="100"/>
              <w:bottom w:type="dxa" w:w="80"/>
              <w:right w:type="dxa" w:w="100"/>
            </w:tcMar>
            <w:vAlign w:val="center"/>
          </w:tcPr>
          <w:p>
            <w:pPr>
              <w:jc w:val="center"/>
            </w:pPr>
            <w:r>
              <w:rPr>
                <w:b/>
                <w:bCs/>
                <w:sz w:val="19"/>
                <w:szCs w:val="19"/>
              </w:rPr>
              <w:t xml:space="preserve">FR-001</w:t>
            </w:r>
          </w:p>
        </w:tc>
        <w:tc>
          <w:tcPr>
            <w:tcW w:type="dxa" w:w="1450"/>
            <w:tcMar>
              <w:top w:type="dxa" w:w="80"/>
              <w:left w:type="dxa" w:w="100"/>
              <w:bottom w:type="dxa" w:w="80"/>
              <w:right w:type="dxa" w:w="100"/>
            </w:tcMar>
            <w:vAlign w:val="center"/>
          </w:tcPr>
          <w:p>
            <w:pPr>
              <w:jc w:val="center"/>
            </w:pPr>
            <w:r>
              <w:rPr>
                <w:b w:val="false"/>
                <w:bCs w:val="false"/>
                <w:sz w:val="19"/>
                <w:szCs w:val="19"/>
              </w:rPr>
              <w:t xml:space="preserve">Functional</w:t>
            </w:r>
          </w:p>
        </w:tc>
        <w:tc>
          <w:tcPr>
            <w:tcW w:type="dxa" w:w="3400"/>
            <w:tcMar>
              <w:top w:type="dxa" w:w="80"/>
              <w:left w:type="dxa" w:w="100"/>
              <w:bottom w:type="dxa" w:w="80"/>
              <w:right w:type="dxa" w:w="100"/>
            </w:tcMar>
            <w:vAlign w:val="center"/>
          </w:tcPr>
          <w:p>
            <w:pPr>
              <w:jc w:val="left"/>
            </w:pPr>
            <w:r>
              <w:rPr>
                <w:b w:val="false"/>
                <w:bCs w:val="false"/>
                <w:sz w:val="19"/>
                <w:szCs w:val="19"/>
              </w:rPr>
              <w:t xml:space="preserve">The system shall allow Shelter Staff to log an animal's vaccination and medical intake records, and shall update the animal's availability status to ‘Ready for Adoption’ once records are verified as complete.</w:t>
            </w:r>
          </w:p>
        </w:tc>
        <w:tc>
          <w:tcPr>
            <w:tcW w:type="dxa" w:w="950"/>
            <w:tcMar>
              <w:top w:type="dxa" w:w="80"/>
              <w:left w:type="dxa" w:w="100"/>
              <w:bottom w:type="dxa" w:w="80"/>
              <w:right w:type="dxa" w:w="100"/>
            </w:tcMar>
            <w:vAlign w:val="center"/>
          </w:tcPr>
          <w:p>
            <w:pPr>
              <w:jc w:val="center"/>
            </w:pPr>
            <w:r>
              <w:rPr>
                <w:b w:val="false"/>
                <w:bCs w:val="false"/>
                <w:sz w:val="19"/>
                <w:szCs w:val="19"/>
              </w:rPr>
              <w:t xml:space="preserve">High</w:t>
            </w:r>
          </w:p>
        </w:tc>
        <w:tc>
          <w:tcPr>
            <w:tcW w:type="dxa" w:w="4150"/>
            <w:tcMar>
              <w:top w:type="dxa" w:w="80"/>
              <w:left w:type="dxa" w:w="100"/>
              <w:bottom w:type="dxa" w:w="80"/>
              <w:right w:type="dxa" w:w="100"/>
            </w:tcMar>
            <w:vAlign w:val="center"/>
          </w:tcPr>
          <w:p>
            <w:pPr>
              <w:jc w:val="left"/>
            </w:pPr>
            <w:r>
              <w:rPr>
                <w:b w:val="false"/>
                <w:bCs w:val="false"/>
                <w:sz w:val="19"/>
                <w:szCs w:val="19"/>
              </w:rPr>
              <w:t xml:space="preserve">Pass: When Shelter Staff complete and verify the required vaccination and medical intake records, the animal's status changes to ‘Ready for Adoption’. Fail: An animal with incomplete records or under medical quarantine is marked ‘Ready for Adoption’ or is adopted.</w:t>
            </w:r>
          </w:p>
        </w:tc>
        <w:tc>
          <w:tcPr>
            <w:tcW w:type="dxa" w:w="3700"/>
            <w:tcMar>
              <w:top w:type="dxa" w:w="80"/>
              <w:left w:type="dxa" w:w="100"/>
              <w:bottom w:type="dxa" w:w="80"/>
              <w:right w:type="dxa" w:w="100"/>
            </w:tcMar>
            <w:vAlign w:val="center"/>
          </w:tcPr>
          <w:p>
            <w:pPr>
              <w:jc w:val="left"/>
            </w:pPr>
            <w:r>
              <w:rPr>
                <w:b w:val="false"/>
                <w:bCs w:val="false"/>
                <w:sz w:val="19"/>
                <w:szCs w:val="19"/>
              </w:rPr>
              <w:t xml:space="preserve">Establishes a trustworthy medical baseline before any animal is exposed to adoption applicants (given requirement).</w:t>
            </w:r>
          </w:p>
        </w:tc>
      </w:tr>
      <w:tr>
        <w:trPr>
          <w:tblHeader w:val="false"/>
        </w:trPr>
        <w:tc>
          <w:tcPr>
            <w:tcW w:type="dxa" w:w="750"/>
            <w:tcMar>
              <w:top w:type="dxa" w:w="80"/>
              <w:left w:type="dxa" w:w="100"/>
              <w:bottom w:type="dxa" w:w="80"/>
              <w:right w:type="dxa" w:w="100"/>
            </w:tcMar>
            <w:vAlign w:val="center"/>
          </w:tcPr>
          <w:p>
            <w:pPr>
              <w:jc w:val="center"/>
            </w:pPr>
            <w:r>
              <w:rPr>
                <w:b/>
                <w:bCs/>
                <w:sz w:val="19"/>
                <w:szCs w:val="19"/>
              </w:rPr>
              <w:t xml:space="preserve">FR-002</w:t>
            </w:r>
          </w:p>
        </w:tc>
        <w:tc>
          <w:tcPr>
            <w:tcW w:type="dxa" w:w="1450"/>
            <w:tcMar>
              <w:top w:type="dxa" w:w="80"/>
              <w:left w:type="dxa" w:w="100"/>
              <w:bottom w:type="dxa" w:w="80"/>
              <w:right w:type="dxa" w:w="100"/>
            </w:tcMar>
            <w:vAlign w:val="center"/>
          </w:tcPr>
          <w:p>
            <w:pPr>
              <w:jc w:val="center"/>
            </w:pPr>
            <w:r>
              <w:rPr>
                <w:b w:val="false"/>
                <w:bCs w:val="false"/>
                <w:sz w:val="19"/>
                <w:szCs w:val="19"/>
              </w:rPr>
              <w:t xml:space="preserve">Functional</w:t>
            </w:r>
          </w:p>
        </w:tc>
        <w:tc>
          <w:tcPr>
            <w:tcW w:type="dxa" w:w="3400"/>
            <w:tcMar>
              <w:top w:type="dxa" w:w="80"/>
              <w:left w:type="dxa" w:w="100"/>
              <w:bottom w:type="dxa" w:w="80"/>
              <w:right w:type="dxa" w:w="100"/>
            </w:tcMar>
            <w:vAlign w:val="center"/>
          </w:tcPr>
          <w:p>
            <w:pPr>
              <w:jc w:val="left"/>
            </w:pPr>
            <w:r>
              <w:rPr>
                <w:b w:val="false"/>
                <w:bCs w:val="false"/>
                <w:sz w:val="19"/>
                <w:szCs w:val="19"/>
              </w:rPr>
              <w:t xml:space="preserve">The system shall allow an Adoption Applicant to submit an adoption application, including a screening questionnaire, for a specific animal whose status is ‘Ready for Adoption’.</w:t>
            </w:r>
          </w:p>
        </w:tc>
        <w:tc>
          <w:tcPr>
            <w:tcW w:type="dxa" w:w="950"/>
            <w:tcMar>
              <w:top w:type="dxa" w:w="80"/>
              <w:left w:type="dxa" w:w="100"/>
              <w:bottom w:type="dxa" w:w="80"/>
              <w:right w:type="dxa" w:w="100"/>
            </w:tcMar>
            <w:vAlign w:val="center"/>
          </w:tcPr>
          <w:p>
            <w:pPr>
              <w:jc w:val="center"/>
            </w:pPr>
            <w:r>
              <w:rPr>
                <w:b w:val="false"/>
                <w:bCs w:val="false"/>
                <w:sz w:val="19"/>
                <w:szCs w:val="19"/>
              </w:rPr>
              <w:t xml:space="preserve">High</w:t>
            </w:r>
          </w:p>
        </w:tc>
        <w:tc>
          <w:tcPr>
            <w:tcW w:type="dxa" w:w="4150"/>
            <w:tcMar>
              <w:top w:type="dxa" w:w="80"/>
              <w:left w:type="dxa" w:w="100"/>
              <w:bottom w:type="dxa" w:w="80"/>
              <w:right w:type="dxa" w:w="100"/>
            </w:tcMar>
            <w:vAlign w:val="center"/>
          </w:tcPr>
          <w:p>
            <w:pPr>
              <w:jc w:val="left"/>
            </w:pPr>
            <w:r>
              <w:rPr>
                <w:b w:val="false"/>
                <w:bCs w:val="false"/>
                <w:sz w:val="19"/>
                <w:szCs w:val="19"/>
              </w:rPr>
              <w:t xml:space="preserve">Pass: A submitted application with all mandatory questionnaire fields completed appears in the Shelter Staff review queue within 5 seconds. Fail: An application missing a mandatory field, or targeting an animal not marked ‘Ready for Adoption’, is accepted by the system.</w:t>
            </w:r>
          </w:p>
        </w:tc>
        <w:tc>
          <w:tcPr>
            <w:tcW w:type="dxa" w:w="3700"/>
            <w:tcMar>
              <w:top w:type="dxa" w:w="80"/>
              <w:left w:type="dxa" w:w="100"/>
              <w:bottom w:type="dxa" w:w="80"/>
              <w:right w:type="dxa" w:w="100"/>
            </w:tcMar>
            <w:vAlign w:val="center"/>
          </w:tcPr>
          <w:p>
            <w:pPr>
              <w:jc w:val="left"/>
            </w:pPr>
            <w:r>
              <w:rPr>
                <w:b w:val="false"/>
                <w:bCs w:val="false"/>
                <w:sz w:val="19"/>
                <w:szCs w:val="19"/>
              </w:rPr>
              <w:t xml:space="preserve">Captures the applicant's suitability information up front so staff can make an informed, consistent screening decision.</w:t>
            </w:r>
          </w:p>
        </w:tc>
      </w:tr>
      <w:tr>
        <w:trPr>
          <w:tblHeader w:val="false"/>
        </w:trPr>
        <w:tc>
          <w:tcPr>
            <w:tcW w:type="dxa" w:w="750"/>
            <w:tcMar>
              <w:top w:type="dxa" w:w="80"/>
              <w:left w:type="dxa" w:w="100"/>
              <w:bottom w:type="dxa" w:w="80"/>
              <w:right w:type="dxa" w:w="100"/>
            </w:tcMar>
            <w:vAlign w:val="center"/>
          </w:tcPr>
          <w:p>
            <w:pPr>
              <w:jc w:val="center"/>
            </w:pPr>
            <w:r>
              <w:rPr>
                <w:b/>
                <w:bCs/>
                <w:sz w:val="19"/>
                <w:szCs w:val="19"/>
              </w:rPr>
              <w:t xml:space="preserve">FR-003</w:t>
            </w:r>
          </w:p>
        </w:tc>
        <w:tc>
          <w:tcPr>
            <w:tcW w:type="dxa" w:w="1450"/>
            <w:tcMar>
              <w:top w:type="dxa" w:w="80"/>
              <w:left w:type="dxa" w:w="100"/>
              <w:bottom w:type="dxa" w:w="80"/>
              <w:right w:type="dxa" w:w="100"/>
            </w:tcMar>
            <w:vAlign w:val="center"/>
          </w:tcPr>
          <w:p>
            <w:pPr>
              <w:jc w:val="center"/>
            </w:pPr>
            <w:r>
              <w:rPr>
                <w:b w:val="false"/>
                <w:bCs w:val="false"/>
                <w:sz w:val="19"/>
                <w:szCs w:val="19"/>
              </w:rPr>
              <w:t xml:space="preserve">Functional</w:t>
            </w:r>
          </w:p>
        </w:tc>
        <w:tc>
          <w:tcPr>
            <w:tcW w:type="dxa" w:w="3400"/>
            <w:tcMar>
              <w:top w:type="dxa" w:w="80"/>
              <w:left w:type="dxa" w:w="100"/>
              <w:bottom w:type="dxa" w:w="80"/>
              <w:right w:type="dxa" w:w="100"/>
            </w:tcMar>
            <w:vAlign w:val="center"/>
          </w:tcPr>
          <w:p>
            <w:pPr>
              <w:jc w:val="left"/>
            </w:pPr>
            <w:r>
              <w:rPr>
                <w:b w:val="false"/>
                <w:bCs w:val="false"/>
                <w:sz w:val="19"/>
                <w:szCs w:val="19"/>
              </w:rPr>
              <w:t xml:space="preserve">The system shall allow Shelter Staff to approve or reject a submitted adoption application, and shall update the animal's status and notify the applicant of the outcome.</w:t>
            </w:r>
          </w:p>
        </w:tc>
        <w:tc>
          <w:tcPr>
            <w:tcW w:type="dxa" w:w="950"/>
            <w:tcMar>
              <w:top w:type="dxa" w:w="80"/>
              <w:left w:type="dxa" w:w="100"/>
              <w:bottom w:type="dxa" w:w="80"/>
              <w:right w:type="dxa" w:w="100"/>
            </w:tcMar>
            <w:vAlign w:val="center"/>
          </w:tcPr>
          <w:p>
            <w:pPr>
              <w:jc w:val="center"/>
            </w:pPr>
            <w:r>
              <w:rPr>
                <w:b w:val="false"/>
                <w:bCs w:val="false"/>
                <w:sz w:val="19"/>
                <w:szCs w:val="19"/>
              </w:rPr>
              <w:t xml:space="preserve">High</w:t>
            </w:r>
          </w:p>
        </w:tc>
        <w:tc>
          <w:tcPr>
            <w:tcW w:type="dxa" w:w="4150"/>
            <w:tcMar>
              <w:top w:type="dxa" w:w="80"/>
              <w:left w:type="dxa" w:w="100"/>
              <w:bottom w:type="dxa" w:w="80"/>
              <w:right w:type="dxa" w:w="100"/>
            </w:tcMar>
            <w:vAlign w:val="center"/>
          </w:tcPr>
          <w:p>
            <w:pPr>
              <w:jc w:val="left"/>
            </w:pPr>
            <w:r>
              <w:rPr>
                <w:b w:val="false"/>
                <w:bCs w:val="false"/>
                <w:sz w:val="19"/>
                <w:szCs w:val="19"/>
              </w:rPr>
              <w:t xml:space="preserve">Pass: Approving an application changes the animal's status to ‘Adoption Pending’ and generates a dated approval record; the applicant receives a notification within 1 minute. Fail: An animal's status changes to ‘Adopted’ with no corresponding approved application on file.</w:t>
            </w:r>
          </w:p>
        </w:tc>
        <w:tc>
          <w:tcPr>
            <w:tcW w:type="dxa" w:w="3700"/>
            <w:tcMar>
              <w:top w:type="dxa" w:w="80"/>
              <w:left w:type="dxa" w:w="100"/>
              <w:bottom w:type="dxa" w:w="80"/>
              <w:right w:type="dxa" w:w="100"/>
            </w:tcMar>
            <w:vAlign w:val="center"/>
          </w:tcPr>
          <w:p>
            <w:pPr>
              <w:jc w:val="left"/>
            </w:pPr>
            <w:r>
              <w:rPr>
                <w:b w:val="false"/>
                <w:bCs w:val="false"/>
                <w:sz w:val="19"/>
                <w:szCs w:val="19"/>
              </w:rPr>
              <w:t xml:space="preserve">Prevents unauthorized or undocumented adoptions and keeps applicants informed of decisions.</w:t>
            </w:r>
          </w:p>
        </w:tc>
      </w:tr>
      <w:tr>
        <w:trPr>
          <w:tblHeader w:val="false"/>
        </w:trPr>
        <w:tc>
          <w:tcPr>
            <w:tcW w:type="dxa" w:w="750"/>
            <w:tcMar>
              <w:top w:type="dxa" w:w="80"/>
              <w:left w:type="dxa" w:w="100"/>
              <w:bottom w:type="dxa" w:w="80"/>
              <w:right w:type="dxa" w:w="100"/>
            </w:tcMar>
            <w:vAlign w:val="center"/>
          </w:tcPr>
          <w:p>
            <w:pPr>
              <w:jc w:val="center"/>
            </w:pPr>
            <w:r>
              <w:rPr>
                <w:b/>
                <w:bCs/>
                <w:sz w:val="19"/>
                <w:szCs w:val="19"/>
              </w:rPr>
              <w:t xml:space="preserve">FR-004</w:t>
            </w:r>
          </w:p>
        </w:tc>
        <w:tc>
          <w:tcPr>
            <w:tcW w:type="dxa" w:w="1450"/>
            <w:tcMar>
              <w:top w:type="dxa" w:w="80"/>
              <w:left w:type="dxa" w:w="100"/>
              <w:bottom w:type="dxa" w:w="80"/>
              <w:right w:type="dxa" w:w="100"/>
            </w:tcMar>
            <w:vAlign w:val="center"/>
          </w:tcPr>
          <w:p>
            <w:pPr>
              <w:jc w:val="center"/>
            </w:pPr>
            <w:r>
              <w:rPr>
                <w:b w:val="false"/>
                <w:bCs w:val="false"/>
                <w:sz w:val="19"/>
                <w:szCs w:val="19"/>
              </w:rPr>
              <w:t xml:space="preserve">Functional</w:t>
            </w:r>
          </w:p>
        </w:tc>
        <w:tc>
          <w:tcPr>
            <w:tcW w:type="dxa" w:w="3400"/>
            <w:tcMar>
              <w:top w:type="dxa" w:w="80"/>
              <w:left w:type="dxa" w:w="100"/>
              <w:bottom w:type="dxa" w:w="80"/>
              <w:right w:type="dxa" w:w="100"/>
            </w:tcMar>
            <w:vAlign w:val="center"/>
          </w:tcPr>
          <w:p>
            <w:pPr>
              <w:jc w:val="left"/>
            </w:pPr>
            <w:r>
              <w:rPr>
                <w:b w:val="false"/>
                <w:bCs w:val="false"/>
                <w:sz w:val="19"/>
                <w:szCs w:val="19"/>
              </w:rPr>
              <w:t xml:space="preserve">The system shall allow Shelter Staff to place an animal into a foster home, recording the placement start date, expected return/review date, and actual return date.</w:t>
            </w:r>
          </w:p>
        </w:tc>
        <w:tc>
          <w:tcPr>
            <w:tcW w:type="dxa" w:w="950"/>
            <w:tcMar>
              <w:top w:type="dxa" w:w="80"/>
              <w:left w:type="dxa" w:w="100"/>
              <w:bottom w:type="dxa" w:w="80"/>
              <w:right w:type="dxa" w:w="100"/>
            </w:tcMar>
            <w:vAlign w:val="center"/>
          </w:tcPr>
          <w:p>
            <w:pPr>
              <w:jc w:val="center"/>
            </w:pPr>
            <w:r>
              <w:rPr>
                <w:b w:val="false"/>
                <w:bCs w:val="false"/>
                <w:sz w:val="19"/>
                <w:szCs w:val="19"/>
              </w:rPr>
              <w:t xml:space="preserve">Medium</w:t>
            </w:r>
          </w:p>
        </w:tc>
        <w:tc>
          <w:tcPr>
            <w:tcW w:type="dxa" w:w="4150"/>
            <w:tcMar>
              <w:top w:type="dxa" w:w="80"/>
              <w:left w:type="dxa" w:w="100"/>
              <w:bottom w:type="dxa" w:w="80"/>
              <w:right w:type="dxa" w:w="100"/>
            </w:tcMar>
            <w:vAlign w:val="center"/>
          </w:tcPr>
          <w:p>
            <w:pPr>
              <w:jc w:val="left"/>
            </w:pPr>
            <w:r>
              <w:rPr>
                <w:b w:val="false"/>
                <w:bCs w:val="false"/>
                <w:sz w:val="19"/>
                <w:szCs w:val="19"/>
              </w:rPr>
              <w:t xml:space="preserve">Pass: The system automatically flags any foster placement that exceeds its recorded expected return date for staff follow-up. Fail: A foster placement more than 7 days overdue is not flagged in the staff dashboard.</w:t>
            </w:r>
          </w:p>
        </w:tc>
        <w:tc>
          <w:tcPr>
            <w:tcW w:type="dxa" w:w="3700"/>
            <w:tcMar>
              <w:top w:type="dxa" w:w="80"/>
              <w:left w:type="dxa" w:w="100"/>
              <w:bottom w:type="dxa" w:w="80"/>
              <w:right w:type="dxa" w:w="100"/>
            </w:tcMar>
            <w:vAlign w:val="center"/>
          </w:tcPr>
          <w:p>
            <w:pPr>
              <w:jc w:val="left"/>
            </w:pPr>
            <w:r>
              <w:rPr>
                <w:b w:val="false"/>
                <w:bCs w:val="false"/>
                <w:sz w:val="19"/>
                <w:szCs w:val="19"/>
              </w:rPr>
              <w:t xml:space="preserve">Prevents animals from being lost track of in long-term foster care and supports timely welfare reviews.</w:t>
            </w:r>
          </w:p>
        </w:tc>
      </w:tr>
      <w:tr>
        <w:trPr>
          <w:tblHeader w:val="false"/>
        </w:trPr>
        <w:tc>
          <w:tcPr>
            <w:tcW w:type="dxa" w:w="750"/>
            <w:tcMar>
              <w:top w:type="dxa" w:w="80"/>
              <w:left w:type="dxa" w:w="100"/>
              <w:bottom w:type="dxa" w:w="80"/>
              <w:right w:type="dxa" w:w="100"/>
            </w:tcMar>
            <w:vAlign w:val="center"/>
          </w:tcPr>
          <w:p>
            <w:pPr>
              <w:jc w:val="center"/>
            </w:pPr>
            <w:r>
              <w:rPr>
                <w:b/>
                <w:bCs/>
                <w:sz w:val="19"/>
                <w:szCs w:val="19"/>
              </w:rPr>
              <w:t xml:space="preserve">FR-005</w:t>
            </w:r>
          </w:p>
        </w:tc>
        <w:tc>
          <w:tcPr>
            <w:tcW w:type="dxa" w:w="1450"/>
            <w:tcMar>
              <w:top w:type="dxa" w:w="80"/>
              <w:left w:type="dxa" w:w="100"/>
              <w:bottom w:type="dxa" w:w="80"/>
              <w:right w:type="dxa" w:w="100"/>
            </w:tcMar>
            <w:vAlign w:val="center"/>
          </w:tcPr>
          <w:p>
            <w:pPr>
              <w:jc w:val="center"/>
            </w:pPr>
            <w:r>
              <w:rPr>
                <w:b w:val="false"/>
                <w:bCs w:val="false"/>
                <w:sz w:val="19"/>
                <w:szCs w:val="19"/>
              </w:rPr>
              <w:t xml:space="preserve">Functional</w:t>
            </w:r>
          </w:p>
        </w:tc>
        <w:tc>
          <w:tcPr>
            <w:tcW w:type="dxa" w:w="3400"/>
            <w:tcMar>
              <w:top w:type="dxa" w:w="80"/>
              <w:left w:type="dxa" w:w="100"/>
              <w:bottom w:type="dxa" w:w="80"/>
              <w:right w:type="dxa" w:w="100"/>
            </w:tcMar>
            <w:vAlign w:val="center"/>
          </w:tcPr>
          <w:p>
            <w:pPr>
              <w:jc w:val="left"/>
            </w:pPr>
            <w:r>
              <w:rPr>
                <w:b w:val="false"/>
                <w:bCs w:val="false"/>
                <w:sz w:val="19"/>
                <w:szCs w:val="19"/>
              </w:rPr>
              <w:t xml:space="preserve">The system shall allow Adoption Applicants and Shelter Staff to search and filter the pet catalog by Species, Age, Breed, and Good-with-Kids, returning only animals currently marked ‘Ready for Adoption’.</w:t>
            </w:r>
          </w:p>
        </w:tc>
        <w:tc>
          <w:tcPr>
            <w:tcW w:type="dxa" w:w="950"/>
            <w:tcMar>
              <w:top w:type="dxa" w:w="80"/>
              <w:left w:type="dxa" w:w="100"/>
              <w:bottom w:type="dxa" w:w="80"/>
              <w:right w:type="dxa" w:w="100"/>
            </w:tcMar>
            <w:vAlign w:val="center"/>
          </w:tcPr>
          <w:p>
            <w:pPr>
              <w:jc w:val="center"/>
            </w:pPr>
            <w:r>
              <w:rPr>
                <w:b w:val="false"/>
                <w:bCs w:val="false"/>
                <w:sz w:val="19"/>
                <w:szCs w:val="19"/>
              </w:rPr>
              <w:t xml:space="preserve">High</w:t>
            </w:r>
          </w:p>
        </w:tc>
        <w:tc>
          <w:tcPr>
            <w:tcW w:type="dxa" w:w="4150"/>
            <w:tcMar>
              <w:top w:type="dxa" w:w="80"/>
              <w:left w:type="dxa" w:w="100"/>
              <w:bottom w:type="dxa" w:w="80"/>
              <w:right w:type="dxa" w:w="100"/>
            </w:tcMar>
            <w:vAlign w:val="center"/>
          </w:tcPr>
          <w:p>
            <w:pPr>
              <w:jc w:val="left"/>
            </w:pPr>
            <w:r>
              <w:rPr>
                <w:b w:val="false"/>
                <w:bCs w:val="false"/>
                <w:sz w:val="19"/>
                <w:szCs w:val="19"/>
              </w:rPr>
              <w:t xml:space="preserve">Pass: Search results never include an animal under medical quarantine or already adopted. Fail: A quarantined or already-adopted animal appears in the applicant-facing search results.</w:t>
            </w:r>
          </w:p>
        </w:tc>
        <w:tc>
          <w:tcPr>
            <w:tcW w:type="dxa" w:w="3700"/>
            <w:tcMar>
              <w:top w:type="dxa" w:w="80"/>
              <w:left w:type="dxa" w:w="100"/>
              <w:bottom w:type="dxa" w:w="80"/>
              <w:right w:type="dxa" w:w="100"/>
            </w:tcMar>
            <w:vAlign w:val="center"/>
          </w:tcPr>
          <w:p>
            <w:pPr>
              <w:jc w:val="left"/>
            </w:pPr>
            <w:r>
              <w:rPr>
                <w:b w:val="false"/>
                <w:bCs w:val="false"/>
                <w:sz w:val="19"/>
                <w:szCs w:val="19"/>
              </w:rPr>
              <w:t xml:space="preserve">Prevents applicants from viewing or applying for animals that are unsafe or unavailable, and works with NFR-001 to keep the catalog fast and trustworthy.</w:t>
            </w:r>
          </w:p>
        </w:tc>
      </w:tr>
      <w:tr>
        <w:trPr>
          <w:tblHeader w:val="false"/>
        </w:trPr>
        <w:tc>
          <w:tcPr>
            <w:tcW w:type="dxa" w:w="750"/>
            <w:tcMar>
              <w:top w:type="dxa" w:w="80"/>
              <w:left w:type="dxa" w:w="100"/>
              <w:bottom w:type="dxa" w:w="80"/>
              <w:right w:type="dxa" w:w="100"/>
            </w:tcMar>
            <w:vAlign w:val="center"/>
          </w:tcPr>
          <w:p>
            <w:pPr>
              <w:jc w:val="center"/>
            </w:pPr>
            <w:r>
              <w:rPr>
                <w:b/>
                <w:bCs/>
                <w:sz w:val="19"/>
                <w:szCs w:val="19"/>
              </w:rPr>
              <w:t xml:space="preserve">NFR-001</w:t>
            </w:r>
          </w:p>
        </w:tc>
        <w:tc>
          <w:tcPr>
            <w:tcW w:type="dxa" w:w="1450"/>
            <w:tcMar>
              <w:top w:type="dxa" w:w="80"/>
              <w:left w:type="dxa" w:w="100"/>
              <w:bottom w:type="dxa" w:w="80"/>
              <w:right w:type="dxa" w:w="100"/>
            </w:tcMar>
            <w:vAlign w:val="center"/>
          </w:tcPr>
          <w:p>
            <w:pPr>
              <w:jc w:val="center"/>
            </w:pPr>
            <w:r>
              <w:rPr>
                <w:b w:val="false"/>
                <w:bCs w:val="false"/>
                <w:sz w:val="19"/>
                <w:szCs w:val="19"/>
              </w:rPr>
              <w:t xml:space="preserve">Nonfunctional</w:t>
            </w:r>
          </w:p>
        </w:tc>
        <w:tc>
          <w:tcPr>
            <w:tcW w:type="dxa" w:w="3400"/>
            <w:tcMar>
              <w:top w:type="dxa" w:w="80"/>
              <w:left w:type="dxa" w:w="100"/>
              <w:bottom w:type="dxa" w:w="80"/>
              <w:right w:type="dxa" w:w="100"/>
            </w:tcMar>
            <w:vAlign w:val="center"/>
          </w:tcPr>
          <w:p>
            <w:pPr>
              <w:jc w:val="left"/>
            </w:pPr>
            <w:r>
              <w:rPr>
                <w:b w:val="false"/>
                <w:bCs w:val="false"/>
                <w:sz w:val="19"/>
                <w:szCs w:val="19"/>
              </w:rPr>
              <w:t xml:space="preserve">The pet search catalog must support multi-attribute filtering (Species, Age, Breed, Good with Kids) with a page response time under 200 ms.</w:t>
            </w:r>
          </w:p>
        </w:tc>
        <w:tc>
          <w:tcPr>
            <w:tcW w:type="dxa" w:w="950"/>
            <w:tcMar>
              <w:top w:type="dxa" w:w="80"/>
              <w:left w:type="dxa" w:w="100"/>
              <w:bottom w:type="dxa" w:w="80"/>
              <w:right w:type="dxa" w:w="100"/>
            </w:tcMar>
            <w:vAlign w:val="center"/>
          </w:tcPr>
          <w:p>
            <w:pPr>
              <w:jc w:val="center"/>
            </w:pPr>
            <w:r>
              <w:rPr>
                <w:b w:val="false"/>
                <w:bCs w:val="false"/>
                <w:sz w:val="19"/>
                <w:szCs w:val="19"/>
              </w:rPr>
              <w:t xml:space="preserve">High</w:t>
            </w:r>
          </w:p>
        </w:tc>
        <w:tc>
          <w:tcPr>
            <w:tcW w:type="dxa" w:w="4150"/>
            <w:tcMar>
              <w:top w:type="dxa" w:w="80"/>
              <w:left w:type="dxa" w:w="100"/>
              <w:bottom w:type="dxa" w:w="80"/>
              <w:right w:type="dxa" w:w="100"/>
            </w:tcMar>
            <w:vAlign w:val="center"/>
          </w:tcPr>
          <w:p>
            <w:pPr>
              <w:jc w:val="left"/>
            </w:pPr>
            <w:r>
              <w:rPr>
                <w:b w:val="false"/>
                <w:bCs w:val="false"/>
                <w:sz w:val="19"/>
                <w:szCs w:val="19"/>
              </w:rPr>
              <w:t xml:space="preserve">Pass: Benchmarking tests confirm that the 95th-percentile filtered search response time is below 200 ms under simulated peak load. Fail: The 95th-percentile filtered search response exceeds 200 ms under peak load.</w:t>
            </w:r>
          </w:p>
        </w:tc>
        <w:tc>
          <w:tcPr>
            <w:tcW w:type="dxa" w:w="3700"/>
            <w:tcMar>
              <w:top w:type="dxa" w:w="80"/>
              <w:left w:type="dxa" w:w="100"/>
              <w:bottom w:type="dxa" w:w="80"/>
              <w:right w:type="dxa" w:w="100"/>
            </w:tcMar>
            <w:vAlign w:val="center"/>
          </w:tcPr>
          <w:p>
            <w:pPr>
              <w:jc w:val="left"/>
            </w:pPr>
            <w:r>
              <w:rPr>
                <w:b w:val="false"/>
                <w:bCs w:val="false"/>
                <w:sz w:val="19"/>
                <w:szCs w:val="19"/>
              </w:rPr>
              <w:t xml:space="preserve">Ensures the catalog stays responsive during high-traffic adoption events, so applicants do not abandon their search (given requirement).</w:t>
            </w:r>
          </w:p>
        </w:tc>
      </w:tr>
      <w:tr>
        <w:trPr>
          <w:tblHeader w:val="false"/>
        </w:trPr>
        <w:tc>
          <w:tcPr>
            <w:tcW w:type="dxa" w:w="750"/>
            <w:tcMar>
              <w:top w:type="dxa" w:w="80"/>
              <w:left w:type="dxa" w:w="100"/>
              <w:bottom w:type="dxa" w:w="80"/>
              <w:right w:type="dxa" w:w="100"/>
            </w:tcMar>
            <w:vAlign w:val="center"/>
          </w:tcPr>
          <w:p>
            <w:pPr>
              <w:jc w:val="center"/>
            </w:pPr>
            <w:r>
              <w:rPr>
                <w:b/>
                <w:bCs/>
                <w:sz w:val="19"/>
                <w:szCs w:val="19"/>
              </w:rPr>
              <w:t xml:space="preserve">NFR-002</w:t>
            </w:r>
          </w:p>
        </w:tc>
        <w:tc>
          <w:tcPr>
            <w:tcW w:type="dxa" w:w="1450"/>
            <w:tcMar>
              <w:top w:type="dxa" w:w="80"/>
              <w:left w:type="dxa" w:w="100"/>
              <w:bottom w:type="dxa" w:w="80"/>
              <w:right w:type="dxa" w:w="100"/>
            </w:tcMar>
            <w:vAlign w:val="center"/>
          </w:tcPr>
          <w:p>
            <w:pPr>
              <w:jc w:val="center"/>
            </w:pPr>
            <w:r>
              <w:rPr>
                <w:b w:val="false"/>
                <w:bCs w:val="false"/>
                <w:sz w:val="19"/>
                <w:szCs w:val="19"/>
              </w:rPr>
              <w:t xml:space="preserve">Nonfunctional</w:t>
            </w:r>
          </w:p>
        </w:tc>
        <w:tc>
          <w:tcPr>
            <w:tcW w:type="dxa" w:w="3400"/>
            <w:tcMar>
              <w:top w:type="dxa" w:w="80"/>
              <w:left w:type="dxa" w:w="100"/>
              <w:bottom w:type="dxa" w:w="80"/>
              <w:right w:type="dxa" w:w="100"/>
            </w:tcMar>
            <w:vAlign w:val="center"/>
          </w:tcPr>
          <w:p>
            <w:pPr>
              <w:jc w:val="left"/>
            </w:pPr>
            <w:r>
              <w:rPr>
                <w:b w:val="false"/>
                <w:bCs w:val="false"/>
                <w:sz w:val="19"/>
                <w:szCs w:val="19"/>
              </w:rPr>
              <w:t xml:space="preserve">The system shall encrypt all applicant personal data and staff-entered medical records at rest and in transit, and shall enforce role-based access control (RBAC) so applicants can view only their own application data.</w:t>
            </w:r>
          </w:p>
        </w:tc>
        <w:tc>
          <w:tcPr>
            <w:tcW w:type="dxa" w:w="950"/>
            <w:tcMar>
              <w:top w:type="dxa" w:w="80"/>
              <w:left w:type="dxa" w:w="100"/>
              <w:bottom w:type="dxa" w:w="80"/>
              <w:right w:type="dxa" w:w="100"/>
            </w:tcMar>
            <w:vAlign w:val="center"/>
          </w:tcPr>
          <w:p>
            <w:pPr>
              <w:jc w:val="center"/>
            </w:pPr>
            <w:r>
              <w:rPr>
                <w:b w:val="false"/>
                <w:bCs w:val="false"/>
                <w:sz w:val="19"/>
                <w:szCs w:val="19"/>
              </w:rPr>
              <w:t xml:space="preserve">High</w:t>
            </w:r>
          </w:p>
        </w:tc>
        <w:tc>
          <w:tcPr>
            <w:tcW w:type="dxa" w:w="4150"/>
            <w:tcMar>
              <w:top w:type="dxa" w:w="80"/>
              <w:left w:type="dxa" w:w="100"/>
              <w:bottom w:type="dxa" w:w="80"/>
              <w:right w:type="dxa" w:w="100"/>
            </w:tcMar>
            <w:vAlign w:val="center"/>
          </w:tcPr>
          <w:p>
            <w:pPr>
              <w:jc w:val="left"/>
            </w:pPr>
            <w:r>
              <w:rPr>
                <w:b w:val="false"/>
                <w:bCs w:val="false"/>
                <w:sz w:val="19"/>
                <w:szCs w:val="19"/>
              </w:rPr>
              <w:t xml:space="preserve">Pass: A security/access-control audit confirms data is encrypted at rest (AES-256) and in transit (TLS 1.2+), and that an applicant account cannot retrieve another applicant's records. Fail: Any role can access another user's application or medical data, or data is found unencrypted at rest.</w:t>
            </w:r>
          </w:p>
        </w:tc>
        <w:tc>
          <w:tcPr>
            <w:tcW w:type="dxa" w:w="3700"/>
            <w:tcMar>
              <w:top w:type="dxa" w:w="80"/>
              <w:left w:type="dxa" w:w="100"/>
              <w:bottom w:type="dxa" w:w="80"/>
              <w:right w:type="dxa" w:w="100"/>
            </w:tcMar>
            <w:vAlign w:val="center"/>
          </w:tcPr>
          <w:p>
            <w:pPr>
              <w:jc w:val="left"/>
            </w:pPr>
            <w:r>
              <w:rPr>
                <w:b w:val="false"/>
                <w:bCs w:val="false"/>
                <w:sz w:val="19"/>
                <w:szCs w:val="19"/>
              </w:rPr>
              <w:t xml:space="preserve">Protects sensitive personal and medical information and limits liability from unauthorized data exposure.</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2026-08-25T05:34:55.383Z</dcterms:created>
  <dcterms:modified xsi:type="dcterms:W3CDTF">2026-08-25T05:34:55.396Z</dcterms:modified>
</cp:coreProperties>
</file>

<file path=docProps/custom.xml><?xml version="1.0" encoding="utf-8"?>
<Properties xmlns="http://schemas.openxmlformats.org/officeDocument/2006/custom-properties" xmlns:vt="http://schemas.openxmlformats.org/officeDocument/2006/docPropsVTypes"/>
</file>