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BUSINESS INSIGHT REPORT</w:t>
      </w:r>
    </w:p>
    <w:p w:rsidR="00000000" w:rsidDel="00000000" w:rsidP="00000000" w:rsidRDefault="00000000" w:rsidRPr="00000000" w14:paraId="00000002">
      <w:pPr>
        <w:spacing w:before="300" w:lineRule="auto"/>
        <w:jc w:val="center"/>
        <w:rPr>
          <w:rFonts w:ascii="Times New Roman" w:cs="Times New Roman" w:eastAsia="Times New Roman" w:hAnsi="Times New Roman"/>
          <w:i w:val="1"/>
          <w:iCs w:val="1"/>
          <w:color w:val="595959"/>
          <w:sz w:val="24"/>
          <w:szCs w:val="24"/>
        </w:rPr>
      </w:pPr>
      <w:r w:rsidDel="00000000" w:rsidR="00000000" w:rsidRPr="00000000">
        <w:rPr>
          <w:rtl w:val="0"/>
        </w:rPr>
      </w:r>
    </w:p>
    <w:p w:rsidR="00000000" w:rsidDel="00000000" w:rsidP="00000000" w:rsidRDefault="00000000" w:rsidRPr="00000000" w14:paraId="00000003">
      <w:pPr>
        <w:spacing w:before="1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Dataset Name :</w:t>
      </w:r>
    </w:p>
    <w:p w:rsidR="00000000" w:rsidDel="00000000" w:rsidP="00000000" w:rsidRDefault="00000000" w:rsidRPr="00000000" w14:paraId="00000005">
      <w:pPr>
        <w:spacing w:after="400" w:before="8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GLOBAL SALES &amp; FINANCIAL PERFORMANCE</w:t>
      </w:r>
    </w:p>
    <w:p w:rsidR="00000000" w:rsidDel="00000000" w:rsidP="00000000" w:rsidRDefault="00000000" w:rsidRPr="00000000" w14:paraId="00000006">
      <w:pPr>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Student Name : KEERTHANA B</w:t>
      </w:r>
    </w:p>
    <w:p w:rsidR="00000000" w:rsidDel="00000000" w:rsidP="00000000" w:rsidRDefault="00000000" w:rsidRPr="00000000" w14:paraId="00000007">
      <w:pPr>
        <w:spacing w:before="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000" w:lineRule="auto"/>
        <w:jc w:val="cente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9">
      <w:pPr>
        <w:spacing w:before="2000" w:lineRule="auto"/>
        <w:jc w:val="cente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rPr>
      </w:pPr>
      <w:bookmarkStart w:colFirst="0" w:colLast="0" w:name="_cvzgne8xz0oq" w:id="0"/>
      <w:bookmarkEnd w:id="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7">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structured business analysis of the Global Sales &amp; Financial Performance dataset, visualized through an Interactive Sales Dashboard built in Power BI. The purpose of this report is to interpret the dashboard's key performance indicators (KPIs) and visuals, and to translate those insights into clear, actionable business recommendations. The analysis covers overall financial performance, product category trends, monthly sales seasonality, regional distribution of sales, and employee performance, with the goal of supporting data-driven decision-making across inventory, marketing, and sales operations</w:t>
      </w:r>
    </w:p>
    <w:p w:rsidR="00000000" w:rsidDel="00000000" w:rsidP="00000000" w:rsidRDefault="00000000" w:rsidRPr="00000000" w14:paraId="00000018">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16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 OVERVIEW:</w:t>
      </w:r>
      <w:r w:rsidDel="00000000" w:rsidR="00000000" w:rsidRPr="00000000">
        <w:rPr>
          <w:rtl w:val="0"/>
        </w:rPr>
      </w:r>
    </w:p>
    <w:p w:rsidR="00000000" w:rsidDel="00000000" w:rsidP="00000000" w:rsidRDefault="00000000" w:rsidRPr="00000000" w14:paraId="0000001A">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Interactive Sales Dashboard consolidates the organization's global sales and financial performance into a single view. It combines six headline KPI cards (Total Sales, Total Profit, Total Quantity, Total Cost, Order Count, and Average Sales) with five supporting visuals — sales by product category, monthly sales trend, profit by employee, sales by region, and a filterable product-level detail table. Interactive slicers for Year, Category, and Region allow the underlying data to be filtered dynamically, enabling users to drill from a global overview down to a specific product, month, region, or employee.</w:t>
      </w:r>
    </w:p>
    <w:p w:rsidR="00000000" w:rsidDel="00000000" w:rsidP="00000000" w:rsidRDefault="00000000" w:rsidRPr="00000000" w14:paraId="0000001C">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rPr>
      </w:pPr>
      <w:bookmarkStart w:colFirst="0" w:colLast="0" w:name="_5hnc278woaai" w:id="1"/>
      <w:bookmarkEnd w:id="1"/>
      <w:r w:rsidDel="00000000" w:rsidR="00000000" w:rsidRPr="00000000">
        <w:rPr>
          <w:rFonts w:ascii="Times New Roman" w:cs="Times New Roman" w:eastAsia="Times New Roman" w:hAnsi="Times New Roman"/>
          <w:b w:val="1"/>
          <w:bCs w:val="1"/>
          <w:sz w:val="28"/>
          <w:szCs w:val="28"/>
          <w:rtl w:val="0"/>
        </w:rPr>
        <w:t xml:space="preserve">KPI ANALYSIS :</w:t>
      </w:r>
    </w:p>
    <w:p w:rsidR="00000000" w:rsidDel="00000000" w:rsidP="00000000" w:rsidRDefault="00000000" w:rsidRPr="00000000" w14:paraId="0000001D">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1E">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Total Sales</w:t>
            </w:r>
          </w:p>
          <w:p w:rsidR="00000000" w:rsidDel="00000000" w:rsidP="00000000" w:rsidRDefault="00000000" w:rsidRPr="00000000" w14:paraId="0000001F">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70.64M</w:t>
            </w:r>
          </w:p>
        </w:tc>
        <w:tc>
          <w:tcPr>
            <w:tcBorders>
              <w:top w:color="000000" w:space="0" w:sz="6" w:val="single"/>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20">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Total Profit</w:t>
            </w:r>
          </w:p>
          <w:p w:rsidR="00000000" w:rsidDel="00000000" w:rsidP="00000000" w:rsidRDefault="00000000" w:rsidRPr="00000000" w14:paraId="00000021">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25.12M</w:t>
            </w:r>
          </w:p>
        </w:tc>
        <w:tc>
          <w:tcPr>
            <w:tcBorders>
              <w:top w:color="000000" w:space="0" w:sz="6" w:val="single"/>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22">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Total Cost</w:t>
            </w:r>
          </w:p>
          <w:p w:rsidR="00000000" w:rsidDel="00000000" w:rsidP="00000000" w:rsidRDefault="00000000" w:rsidRPr="00000000" w14:paraId="00000023">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45.52M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24">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Total Quantity</w:t>
            </w:r>
          </w:p>
          <w:p w:rsidR="00000000" w:rsidDel="00000000" w:rsidP="00000000" w:rsidRDefault="00000000" w:rsidRPr="00000000" w14:paraId="00000025">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300K units</w:t>
            </w:r>
          </w:p>
        </w:tc>
        <w:tc>
          <w:tcPr>
            <w:tcBorders>
              <w:top w:color="000000" w:space="0" w:sz="0" w:val="nil"/>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26">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Order Count</w:t>
            </w:r>
          </w:p>
          <w:p w:rsidR="00000000" w:rsidDel="00000000" w:rsidP="00000000" w:rsidRDefault="00000000" w:rsidRPr="00000000" w14:paraId="00000027">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100K orders</w:t>
            </w:r>
          </w:p>
        </w:tc>
        <w:tc>
          <w:tcPr>
            <w:tcBorders>
              <w:top w:color="000000" w:space="0" w:sz="0" w:val="nil"/>
              <w:left w:color="000000" w:space="0" w:sz="6" w:val="single"/>
              <w:bottom w:color="000000" w:space="0" w:sz="6" w:val="single"/>
              <w:right w:color="000000" w:space="0" w:sz="6" w:val="single"/>
            </w:tcBorders>
            <w:shd w:fill="f2f6fc" w:val="clear"/>
            <w:tcMar>
              <w:top w:w="120.0" w:type="dxa"/>
              <w:left w:w="120.0" w:type="dxa"/>
              <w:bottom w:w="120.0" w:type="dxa"/>
              <w:right w:w="120.0" w:type="dxa"/>
            </w:tcMar>
            <w:vAlign w:val="top"/>
          </w:tcPr>
          <w:p w:rsidR="00000000" w:rsidDel="00000000" w:rsidP="00000000" w:rsidRDefault="00000000" w:rsidRPr="00000000" w14:paraId="00000028">
            <w:pPr>
              <w:ind w:left="-2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Average Sales</w:t>
            </w:r>
          </w:p>
          <w:p w:rsidR="00000000" w:rsidDel="00000000" w:rsidP="00000000" w:rsidRDefault="00000000" w:rsidRPr="00000000" w14:paraId="00000029">
            <w:pPr>
              <w:spacing w:before="60" w:lineRule="auto"/>
              <w:ind w:left="-20" w:firstLine="0"/>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706.36 / order</w:t>
            </w:r>
          </w:p>
        </w:tc>
      </w:tr>
    </w:tbl>
    <w:p w:rsidR="00000000" w:rsidDel="00000000" w:rsidP="00000000" w:rsidRDefault="00000000" w:rsidRPr="00000000" w14:paraId="0000002A">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profit margin sits at roughly 35.6% (Total Profit ÷ Total Sales), meaning the business retains about 36 cents of profit for every dollar of sales after covering total costs of 45.52M. With 100K orders driving 300K units sold, the business averages 3 units per order and 706.36 in sales value per order. This combination of a healthy margin and a large order base suggests the business is operating efficiently at scale, though there is room to grow average order value through bundling or upselling.</w:t>
      </w:r>
    </w:p>
    <w:p w:rsidR="00000000" w:rsidDel="00000000" w:rsidP="00000000" w:rsidRDefault="00000000" w:rsidRPr="00000000" w14:paraId="0000002B">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u w:val="none"/>
        </w:rPr>
      </w:pPr>
      <w:bookmarkStart w:colFirst="0" w:colLast="0" w:name="_eeb5llplska0" w:id="2"/>
      <w:bookmarkEnd w:id="2"/>
      <w:r w:rsidDel="00000000" w:rsidR="00000000" w:rsidRPr="00000000">
        <w:rPr>
          <w:rFonts w:ascii="Times New Roman" w:cs="Times New Roman" w:eastAsia="Times New Roman" w:hAnsi="Times New Roman"/>
          <w:b w:val="1"/>
          <w:bCs w:val="1"/>
          <w:sz w:val="28"/>
          <w:szCs w:val="28"/>
          <w:rtl w:val="0"/>
        </w:rPr>
        <w:t xml:space="preserve">PRODUCT CATEGORY PERFORMANCE ANALYSIS: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6.572280178838"/>
        <w:gridCol w:w="3264.14307004471"/>
        <w:gridCol w:w="2399.284649776453"/>
        <w:tblGridChange w:id="0">
          <w:tblGrid>
            <w:gridCol w:w="3696.572280178838"/>
            <w:gridCol w:w="3264.14307004471"/>
            <w:gridCol w:w="2399.28464977645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 Sales (approx.)</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Rank</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(highest)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Accessories</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Furniture</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(lowest)</w:t>
            </w:r>
          </w:p>
        </w:tc>
      </w:tr>
    </w:tbl>
    <w:p w:rsidR="00000000" w:rsidDel="00000000" w:rsidP="00000000" w:rsidRDefault="00000000" w:rsidRPr="00000000" w14:paraId="00000043">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 is the strongest category at roughly 14M in sales, followed closely by Accessories and Kitchen at around 13M each. Electronics trails at 11M, while Outdoors and Furniture are the weakest categories at approximately 10M each. The spread between the top and bottom category is relatively narrow (about 4M), indicating a fairly balanced product portfolio rather than dependence on a single category — but it also means Furniture and Outdoors are consistently underperforming and warrant closer review.</w:t>
      </w:r>
    </w:p>
    <w:p w:rsidR="00000000" w:rsidDel="00000000" w:rsidP="00000000" w:rsidRDefault="00000000" w:rsidRPr="00000000" w14:paraId="00000044">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rPr>
      </w:pPr>
      <w:bookmarkStart w:colFirst="0" w:colLast="0" w:name="_iiu88cgzh5tn" w:id="3"/>
      <w:bookmarkEnd w:id="3"/>
      <w:r w:rsidDel="00000000" w:rsidR="00000000" w:rsidRPr="00000000">
        <w:rPr>
          <w:rFonts w:ascii="Times New Roman" w:cs="Times New Roman" w:eastAsia="Times New Roman" w:hAnsi="Times New Roman"/>
          <w:b w:val="1"/>
          <w:bCs w:val="1"/>
          <w:sz w:val="28"/>
          <w:szCs w:val="28"/>
          <w:rtl w:val="0"/>
        </w:rPr>
        <w:t xml:space="preserve">MONTHLY SALES TREND ANALYSIS:</w:t>
      </w:r>
    </w:p>
    <w:p w:rsidR="00000000" w:rsidDel="00000000" w:rsidP="00000000" w:rsidRDefault="00000000" w:rsidRPr="00000000" w14:paraId="00000045">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sales fluctuate in a relatively narrow band of roughly 5.6M to 6.2M, showing seasonal variation rather than sharp swings. December is the strongest month at 6.19M, consistent with a holiday/year-end sales lift, followed by August (6.06M) and May (6.05M). February is the weakest month shown at 5.60M, with September (5.73M) and June (5.75M) also on the lower end. The overall pattern points to modest but consistent month-to-month demand, with a noticeable uptick around year-end and softer performance in late summer/early autumn (September) and late winter (February).</w:t>
      </w:r>
    </w:p>
    <w:p w:rsidR="00000000" w:rsidDel="00000000" w:rsidP="00000000" w:rsidRDefault="00000000" w:rsidRPr="00000000" w14:paraId="00000046">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u w:val="none"/>
        </w:rPr>
      </w:pPr>
      <w:bookmarkStart w:colFirst="0" w:colLast="0" w:name="_6wvph4o5ja50" w:id="4"/>
      <w:bookmarkEnd w:id="4"/>
      <w:r w:rsidDel="00000000" w:rsidR="00000000" w:rsidRPr="00000000">
        <w:rPr>
          <w:rFonts w:ascii="Times New Roman" w:cs="Times New Roman" w:eastAsia="Times New Roman" w:hAnsi="Times New Roman"/>
          <w:b w:val="1"/>
          <w:bCs w:val="1"/>
          <w:sz w:val="28"/>
          <w:szCs w:val="28"/>
          <w:rtl w:val="0"/>
        </w:rPr>
        <w:t xml:space="preserve">REGIONAL SALES ANALYSIS:</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5.7142857142853"/>
        <w:gridCol w:w="3092.1428571428573"/>
        <w:gridCol w:w="3092.1428571428573"/>
        <w:tblGridChange w:id="0">
          <w:tblGrid>
            <w:gridCol w:w="3175.7142857142853"/>
            <w:gridCol w:w="3092.1428571428573"/>
            <w:gridCol w:w="3092.1428571428573"/>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Region</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 Sales</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Share of Total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14.29M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14.07M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14.02M</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19.80%</w:t>
            </w:r>
          </w:p>
        </w:tc>
      </w:tr>
    </w:tbl>
    <w:p w:rsidR="00000000" w:rsidDel="00000000" w:rsidP="00000000" w:rsidRDefault="00000000" w:rsidRPr="00000000" w14:paraId="00000060">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are distributed almost evenly across all five regions, each contributing close to 20% of total revenue. Central leads marginally at 14.29M (20.23%), while East is the lowest contributor at 14.02M (19.80%). The gap between the strongest and weakest region is less than 0.3M — under 2% of regional sales — indicating a mature, well-balanced geographic footprint with no single region carrying the business disproportionately</w:t>
      </w:r>
    </w:p>
    <w:p w:rsidR="00000000" w:rsidDel="00000000" w:rsidP="00000000" w:rsidRDefault="00000000" w:rsidRPr="00000000" w14:paraId="00000061">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1"/>
        </w:numPr>
        <w:spacing w:after="160" w:line="3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EMPLOYEE PERFORMANCE ANALYSIS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9.403874813711"/>
        <w:gridCol w:w="4240.596125186289"/>
        <w:tblGridChange w:id="0">
          <w:tblGrid>
            <w:gridCol w:w="5119.403874813711"/>
            <w:gridCol w:w="4240.596125186289"/>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00.0" w:type="dxa"/>
              <w:bottom w:w="8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 Profit (approx.)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Khaled Hassan</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El-Sayed</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El-Sayed</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Ibrahim</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Smith</w:t>
            </w:r>
          </w:p>
        </w:tc>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 Garcia</w:t>
            </w:r>
          </w:p>
        </w:tc>
        <w:tc>
          <w:tcPr>
            <w:tcBorders>
              <w:top w:color="000000" w:space="0" w:sz="0" w:val="nil"/>
              <w:left w:color="000000" w:space="0" w:sz="6" w:val="single"/>
              <w:bottom w:color="000000" w:space="0" w:sz="6" w:val="single"/>
              <w:right w:color="000000" w:space="0" w:sz="6" w:val="single"/>
            </w:tcBorders>
            <w:shd w:fill="f2f6fc" w:val="clear"/>
            <w:tcMar>
              <w:top w:w="80.0" w:type="dxa"/>
              <w:left w:w="100.0" w:type="dxa"/>
              <w:bottom w:w="8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0.5M</w:t>
            </w:r>
          </w:p>
        </w:tc>
      </w:tr>
    </w:tbl>
    <w:p w:rsidR="00000000" w:rsidDel="00000000" w:rsidP="00000000" w:rsidRDefault="00000000" w:rsidRPr="00000000" w14:paraId="00000071">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of the six employees — Khaled Hassan, Omar El-Sayed, Hassan El-Sayed, Ahmed Ibrahim, and John Smith — generate a comparable profit contribution of approximately 1.0M each, indicating a consistent, well-performing core sales team. Nora Garcia's profit contribution of about 0.5M is roughly half that of her peers, making her the clear outlier on the team and a candidate for coaching, workload review, or investigation into account/territory differences that might explain the gap.</w:t>
      </w:r>
    </w:p>
    <w:p w:rsidR="00000000" w:rsidDel="00000000" w:rsidP="00000000" w:rsidRDefault="00000000" w:rsidRPr="00000000" w14:paraId="00000072">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keepNext w:val="0"/>
        <w:keepLines w:val="0"/>
        <w:numPr>
          <w:ilvl w:val="0"/>
          <w:numId w:val="1"/>
        </w:numPr>
        <w:spacing w:after="160" w:before="320" w:lineRule="auto"/>
        <w:ind w:left="720" w:hanging="360"/>
        <w:rPr>
          <w:rFonts w:ascii="Times New Roman" w:cs="Times New Roman" w:eastAsia="Times New Roman" w:hAnsi="Times New Roman"/>
          <w:b w:val="1"/>
          <w:bCs w:val="1"/>
          <w:sz w:val="28"/>
          <w:szCs w:val="28"/>
        </w:rPr>
      </w:pPr>
      <w:bookmarkStart w:colFirst="0" w:colLast="0" w:name="_lqhip0w2x629" w:id="5"/>
      <w:bookmarkEnd w:id="5"/>
      <w:r w:rsidDel="00000000" w:rsidR="00000000" w:rsidRPr="00000000">
        <w:rPr>
          <w:rFonts w:ascii="Times New Roman" w:cs="Times New Roman" w:eastAsia="Times New Roman" w:hAnsi="Times New Roman"/>
          <w:b w:val="1"/>
          <w:bCs w:val="1"/>
          <w:sz w:val="28"/>
          <w:szCs w:val="28"/>
          <w:rtl w:val="0"/>
        </w:rPr>
        <w:t xml:space="preserve">BUSINESS RECOMMONDATIONS:</w:t>
      </w:r>
      <w:r w:rsidDel="00000000" w:rsidR="00000000" w:rsidRPr="00000000">
        <w:rPr>
          <w:rtl w:val="0"/>
        </w:rPr>
      </w:r>
    </w:p>
    <w:p w:rsidR="00000000" w:rsidDel="00000000" w:rsidP="00000000" w:rsidRDefault="00000000" w:rsidRPr="00000000" w14:paraId="00000075">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Inventory Planning: </w:t>
      </w:r>
      <w:r w:rsidDel="00000000" w:rsidR="00000000" w:rsidRPr="00000000">
        <w:rPr>
          <w:rFonts w:ascii="Times New Roman" w:cs="Times New Roman" w:eastAsia="Times New Roman" w:hAnsi="Times New Roman"/>
          <w:sz w:val="24"/>
          <w:szCs w:val="24"/>
          <w:rtl w:val="0"/>
        </w:rPr>
        <w:t xml:space="preserve">Prioritize replenishment and shelf/warehouse space for Clothing, Accessories, and Kitchen, which drive the most sales, while right-sizing stock levels for the slower-moving Furniture and Outdoors categories to reduce holding costs.</w:t>
      </w:r>
    </w:p>
    <w:p w:rsidR="00000000" w:rsidDel="00000000" w:rsidP="00000000" w:rsidRDefault="00000000" w:rsidRPr="00000000" w14:paraId="00000076">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Marketing Strategy: </w:t>
      </w:r>
      <w:r w:rsidDel="00000000" w:rsidR="00000000" w:rsidRPr="00000000">
        <w:rPr>
          <w:rFonts w:ascii="Times New Roman" w:cs="Times New Roman" w:eastAsia="Times New Roman" w:hAnsi="Times New Roman"/>
          <w:sz w:val="24"/>
          <w:szCs w:val="24"/>
          <w:rtl w:val="0"/>
        </w:rPr>
        <w:t xml:space="preserve">Run targeted promotions or bundles in September and February — the weakest months — to smooth demand, and reinforce the strong December period with early holiday campaigns to extend the peak.</w:t>
      </w:r>
    </w:p>
    <w:p w:rsidR="00000000" w:rsidDel="00000000" w:rsidP="00000000" w:rsidRDefault="00000000" w:rsidRPr="00000000" w14:paraId="00000077">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Regional Expansion: </w:t>
      </w:r>
      <w:r w:rsidDel="00000000" w:rsidR="00000000" w:rsidRPr="00000000">
        <w:rPr>
          <w:rFonts w:ascii="Times New Roman" w:cs="Times New Roman" w:eastAsia="Times New Roman" w:hAnsi="Times New Roman"/>
          <w:sz w:val="24"/>
          <w:szCs w:val="24"/>
          <w:rtl w:val="0"/>
        </w:rPr>
        <w:t xml:space="preserve">Since all five regions perform within a narrow band, apply the operating model of the top region (Central) to the lowest performer (East) to close the small remaining gap, and evaluate whether new micro-markets within East could lift its contribution.</w:t>
      </w:r>
    </w:p>
    <w:p w:rsidR="00000000" w:rsidDel="00000000" w:rsidP="00000000" w:rsidRDefault="00000000" w:rsidRPr="00000000" w14:paraId="00000078">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Employee Performance: </w:t>
      </w:r>
      <w:r w:rsidDel="00000000" w:rsidR="00000000" w:rsidRPr="00000000">
        <w:rPr>
          <w:rFonts w:ascii="Times New Roman" w:cs="Times New Roman" w:eastAsia="Times New Roman" w:hAnsi="Times New Roman"/>
          <w:sz w:val="24"/>
          <w:szCs w:val="24"/>
          <w:rtl w:val="0"/>
        </w:rPr>
        <w:t xml:space="preserve">Pair Nora Garcia with a top performer for mentoring and review her account mix or territory to identify the cause of the profit gap; document and share the practices of the five consistently high-performing employees team-wide.</w:t>
      </w:r>
    </w:p>
    <w:p w:rsidR="00000000" w:rsidDel="00000000" w:rsidP="00000000" w:rsidRDefault="00000000" w:rsidRPr="00000000" w14:paraId="00000079">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 Portfolio: </w:t>
      </w:r>
      <w:r w:rsidDel="00000000" w:rsidR="00000000" w:rsidRPr="00000000">
        <w:rPr>
          <w:rFonts w:ascii="Times New Roman" w:cs="Times New Roman" w:eastAsia="Times New Roman" w:hAnsi="Times New Roman"/>
          <w:sz w:val="24"/>
          <w:szCs w:val="24"/>
          <w:rtl w:val="0"/>
        </w:rPr>
        <w:t xml:space="preserve">Reassess the Furniture and Outdoors lines — consider refreshing the assortment, adjusting pricing, or bundling them with higher-performing categories like Clothing and Accessories to lift their contribution.</w:t>
      </w:r>
    </w:p>
    <w:p w:rsidR="00000000" w:rsidDel="00000000" w:rsidP="00000000" w:rsidRDefault="00000000" w:rsidRPr="00000000" w14:paraId="0000007A">
      <w:pPr>
        <w:spacing w:after="120" w:before="240" w:line="278.4"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 Targeting: </w:t>
      </w:r>
      <w:r w:rsidDel="00000000" w:rsidR="00000000" w:rsidRPr="00000000">
        <w:rPr>
          <w:rFonts w:ascii="Times New Roman" w:cs="Times New Roman" w:eastAsia="Times New Roman" w:hAnsi="Times New Roman"/>
          <w:sz w:val="24"/>
          <w:szCs w:val="24"/>
          <w:rtl w:val="0"/>
        </w:rPr>
        <w:t xml:space="preserve">With an average sale of 706.36 per order across roughly 3 units, focus campaigns on increasing basket size (cross-sell/upsell) among existing customers rather than solely acquiring new ones, and use the even regional spread to test consistent, repeatable targeting strategies across markets.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