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b/>
          <w:bCs/>
          <w:color w:val="C9A24B"/>
          <w:sz w:val="22"/>
          <w:szCs w:val="22"/>
        </w:rPr>
        <w:t xml:space="preserve">THE EUROPEAN CENTRAL BANK</w:t>
      </w:r>
    </w:p>
    <w:p>
      <w:pPr>
        <w:spacing w:after="160" w:before="160"/>
        <w:jc w:val="center"/>
      </w:pPr>
      <w:r>
        <w:rPr>
          <w:b/>
          <w:bCs/>
          <w:color w:val="1F3B57"/>
          <w:sz w:val="40"/>
          <w:szCs w:val="40"/>
        </w:rPr>
        <w:t xml:space="preserve">Executive Summary</w:t>
      </w:r>
    </w:p>
    <w:p>
      <w:pPr>
        <w:spacing w:after="400"/>
        <w:jc w:val="center"/>
      </w:pPr>
      <w:r>
        <w:rPr>
          <w:i/>
          <w:iCs/>
          <w:color w:val="5B6770"/>
          <w:sz w:val="24"/>
          <w:szCs w:val="24"/>
        </w:rPr>
        <w:t xml:space="preserve">Customer Engagement &amp; Product Utilization Analytics for Retention Strategy</w:t>
      </w:r>
    </w:p>
    <w:p>
      <w:pPr>
        <w:spacing w:after="160" w:line="300"/>
      </w:pPr>
      <w:r>
        <w:t xml:space="preserve">This summary presents the headline findings and recommended actions from an analysis of 10,000 retail banking customers across France, Germany, and Spain, prepared for government and senior-stakeholder review. The full technical analysis and supporting evidence are documented in the accompanying research paper.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2F4F6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B4453D"/>
                <w:sz w:val="40"/>
                <w:szCs w:val="40"/>
              </w:rPr>
              <w:t xml:space="preserve">20.4%</w:t>
            </w:r>
          </w:p>
          <w:p>
            <w:pPr>
              <w:spacing w:before="6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Overall customer churn</w:t>
            </w:r>
          </w:p>
        </w:tc>
        <w:tc>
          <w:tcPr>
            <w:tcW w:type="dxa" w:w="2500"/>
            <w:shd w:fill="F2F4F6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F3B57"/>
                <w:sz w:val="40"/>
                <w:szCs w:val="40"/>
              </w:rPr>
              <w:t xml:space="preserve">1.88x</w:t>
            </w:r>
          </w:p>
          <w:p>
            <w:pPr>
              <w:spacing w:before="6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Churn risk, inactive vs active</w:t>
            </w:r>
          </w:p>
        </w:tc>
        <w:tc>
          <w:tcPr>
            <w:tcW w:type="dxa" w:w="2500"/>
            <w:shd w:fill="F2F4F6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C9A24B"/>
                <w:sz w:val="40"/>
                <w:szCs w:val="40"/>
              </w:rPr>
              <w:t xml:space="preserve">833</w:t>
            </w:r>
          </w:p>
          <w:p>
            <w:pPr>
              <w:spacing w:before="6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At-risk premium customers</w:t>
            </w:r>
          </w:p>
        </w:tc>
        <w:tc>
          <w:tcPr>
            <w:tcW w:type="dxa" w:w="2500"/>
            <w:shd w:fill="F2F4F6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B4453D"/>
                <w:sz w:val="40"/>
                <w:szCs w:val="40"/>
              </w:rPr>
              <w:t xml:space="preserve">2x</w:t>
            </w:r>
          </w:p>
          <w:p>
            <w:pPr>
              <w:spacing w:before="6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Germany churn vs France/Spain</w:t>
            </w:r>
          </w:p>
        </w:tc>
      </w:tr>
    </w:tbl>
    <w:p>
      <w:pPr>
        <w:spacing w:before="300"/>
      </w:pPr>
    </w:p>
    <w:p>
      <w:pPr>
        <w:pStyle w:val="Heading1"/>
        <w:spacing w:after="140" w:before="320"/>
      </w:pPr>
      <w:r>
        <w:rPr>
          <w:b/>
          <w:bCs/>
          <w:color w:val="1F3B57"/>
        </w:rPr>
        <w:t xml:space="preserve">Why This Matters</w:t>
      </w:r>
    </w:p>
    <w:p>
      <w:pPr>
        <w:spacing w:after="160" w:line="300"/>
      </w:pPr>
      <w:r>
        <w:t xml:space="preserve">Retention strategy has historically assumed that wealthier, higher-balance customers are inherently more loyal. This analysis shows that assumption is false: customer engagement — not account size — is the dominant factor separating customers who stay from those who leave. This has direct implications for how the bank allocates relationship-management resources and designs retention programs.</w:t>
      </w:r>
    </w:p>
    <w:p>
      <w:pPr>
        <w:pStyle w:val="Heading1"/>
        <w:spacing w:after="140" w:before="320"/>
      </w:pPr>
      <w:r>
        <w:rPr>
          <w:b/>
          <w:bCs/>
          <w:color w:val="1F3B57"/>
        </w:rPr>
        <w:t xml:space="preserve">What We Found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One customer in five (20.4%) has churned across the analyzed base.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Inactive customers are nearly twice as likely to churn as active customers (1.88x), regardless of how much money they hold with the bank.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Customers holding two bank products are the most loyal group in the entire dataset (7.6% churn); customers pushed to three or more products show near-total churn (83–100%), pointing to a sales-process issue rather than a loyalty benefit.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833 customers — 8.3% of the base — are financially significant (above-median balance and salary) but currently disengaged. These customers are not yet lost, and represent the clearest near-term opportunity for intervention.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Germany's customer base churns at roughly double the rate of France and Spain, despite holding the highest average balances of the three markets — indicating a market-specific engagement gap rather than a wealth or pricing problem.</w:t>
      </w:r>
    </w:p>
    <w:p>
      <w:pPr>
        <w:jc w:val="center"/>
      </w:pPr>
      <w:r>
        <w:drawing>
          <wp:inline distT="0" distB="0" distL="0" distR="0">
            <wp:extent cx="4000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770"/>
          <w:sz w:val="20"/>
          <w:szCs w:val="20"/>
        </w:rPr>
        <w:t xml:space="preserve">Churn rate by customer engagement profile — the clearest single driver identified in the analysis.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7"/>
        </w:rPr>
        <w:t xml:space="preserve">Recommended Actions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800"/>
        <w:gridCol w:w="2000"/>
      </w:tblGrid>
      <w:tr>
        <w:trPr>
          <w:tblHeader/>
        </w:trPr>
        <w:tc>
          <w:tcPr>
            <w:tcW w:type="dxa" w:w="4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Population</w:t>
            </w:r>
          </w:p>
        </w:tc>
        <w:tc>
          <w:tcPr>
            <w:tcW w:type="dxa" w:w="2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6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Proactive relationship-manager outreach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833 high-balance, high-salary, inactive customers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453D"/>
              </w:rPr>
              <w:t xml:space="preserve">Critical</w:t>
            </w:r>
          </w:p>
        </w:tc>
      </w:tr>
      <w:tr>
        <w:tc>
          <w:tcPr>
            <w:tcW w:type="dxa" w:w="46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Audit sales process behind 3–4 product accounts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326 customers with 3+ products (82–100% churn)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453D"/>
              </w:rPr>
              <w:t xml:space="preserve">Critical</w:t>
            </w:r>
          </w:p>
        </w:tc>
      </w:tr>
      <w:tr>
        <w:tc>
          <w:tcPr>
            <w:tcW w:type="dxa" w:w="46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Germany-specific engagement task force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Entire German customer base (32.4% churn)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A24B"/>
              </w:rPr>
              <w:t xml:space="preserve">High</w:t>
            </w:r>
          </w:p>
        </w:tc>
      </w:tr>
      <w:tr>
        <w:tc>
          <w:tcPr>
            <w:tcW w:type="dxa" w:w="46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Life-stage financial review program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41–60 age band (up to 56% churn)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9A24B"/>
              </w:rPr>
              <w:t xml:space="preserve">High</w:t>
            </w:r>
          </w:p>
        </w:tc>
      </w:tr>
      <w:tr>
        <w:tc>
          <w:tcPr>
            <w:tcW w:type="dxa" w:w="46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Low-cost digital reactivation campaign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2,521 inactive, low-product customers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B57"/>
              </w:rPr>
              <w:t xml:space="preserve">Medium</w:t>
            </w:r>
          </w:p>
        </w:tc>
      </w:tr>
    </w:tbl>
    <w:p>
      <w:pPr>
        <w:spacing w:before="320"/>
      </w:pPr>
    </w:p>
    <w:p>
      <w:pPr>
        <w:pStyle w:val="Heading1"/>
        <w:spacing w:after="140" w:before="320"/>
      </w:pPr>
      <w:r>
        <w:rPr>
          <w:b/>
          <w:bCs/>
          <w:color w:val="1F3B57"/>
        </w:rPr>
        <w:t xml:space="preserve">Bottom Line</w:t>
      </w:r>
    </w:p>
    <w:p>
      <w:pPr>
        <w:spacing w:after="160" w:line="300"/>
      </w:pPr>
      <w:r>
        <w:t xml:space="preserve">Retention efforts should be re-prioritized around behavioral engagement rather than account value alone. The 833-customer at-risk premium segment offers the fastest, most defensible return on a targeted retention investment, while the German market and the over-sold product segment warrant structural review. A live analytics dashboard has been delivered alongside this summary so that these indicators can be tracked on an ongoing basis rather than assessed only at the time of this report.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Executive Summary — For Government Stakeholders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cdc1608e1dd03daa084fce2a5fcce89c05808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2026-09-23T06:57:39.490Z</dcterms:created>
  <dcterms:modified xsi:type="dcterms:W3CDTF">2026-09-23T06:57:39.490Z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