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392B"/>
          <w:spacing w:val="60"/>
          <w:sz w:val="20"/>
          <w:szCs w:val="20"/>
        </w:rPr>
        <w:t xml:space="preserve">EXECUTIVE SUMMARY</w:t>
      </w:r>
    </w:p>
    <w:p>
      <w:pPr>
        <w:spacing w:after="60"/>
      </w:pPr>
      <w:r>
        <w:rPr>
          <w:b/>
          <w:bCs/>
          <w:color w:val="1F3A5F"/>
          <w:sz w:val="38"/>
          <w:szCs w:val="38"/>
        </w:rPr>
        <w:t xml:space="preserve">Predicting Bank Customer Churn: Early-Warning Risk Scoring</w:t>
      </w:r>
    </w:p>
    <w:p>
      <w:pPr>
        <w:pBdr>
          <w:bottom w:val="single" w:color="1F3A5F" w:sz="12" w:space="6"/>
        </w:pBdr>
        <w:spacing w:after="200"/>
      </w:pPr>
      <w:r>
        <w:rPr>
          <w:color w:val="5B6770"/>
          <w:sz w:val="19"/>
          <w:szCs w:val="19"/>
        </w:rPr>
        <w:t xml:space="preserve">Briefing for policy and supervisory stakeholders  •  European retail bank, 10,000 customers  •  September 2026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Purpose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Banks usually find out a customer has left only after the account closes. This study built a statistical early-warning system that gives every customer a churn probability in advance, so that retention effort can be targeted, timely and explainable rather than broad and reactive.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Headline results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Accurate.</w:t>
      </w:r>
      <w:r>
        <w:rPr>
          <w:sz w:val="22"/>
          <w:szCs w:val="22"/>
        </w:rPr>
        <w:t xml:space="preserve"> The best model (XGBoost) discriminates churners from stayers with ROC-AUC </w:t>
      </w:r>
      <w:r>
        <w:rPr>
          <w:b/>
          <w:bCs/>
          <w:sz w:val="22"/>
          <w:szCs w:val="22"/>
        </w:rPr>
        <w:t xml:space="preserve">0.870</w:t>
      </w:r>
      <w:r>
        <w:rPr>
          <w:sz w:val="22"/>
          <w:szCs w:val="22"/>
        </w:rPr>
        <w:t xml:space="preserve"> on 2,000 customers it had never seen (a simple logistic model reaches 0.776).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Efficient.</w:t>
      </w:r>
      <w:r>
        <w:rPr>
          <w:sz w:val="22"/>
          <w:szCs w:val="22"/>
        </w:rPr>
        <w:t xml:space="preserve"> Contacting the riskiest 20% of customers reaches </w:t>
      </w:r>
      <w:r>
        <w:rPr>
          <w:b/>
          <w:bCs/>
          <w:sz w:val="22"/>
          <w:szCs w:val="22"/>
        </w:rPr>
        <w:t xml:space="preserve">63% of all churners</w:t>
      </w:r>
      <w:r>
        <w:rPr>
          <w:sz w:val="22"/>
          <w:szCs w:val="22"/>
        </w:rPr>
        <w:t xml:space="preserve">, about three times better than random contact.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Trustworthy.</w:t>
      </w:r>
      <w:r>
        <w:rPr>
          <w:sz w:val="22"/>
          <w:szCs w:val="22"/>
        </w:rPr>
        <w:t xml:space="preserve"> Scores are true probabilities: customers labelled High risk (score ≥ 60%) actually left 84% of the time, Low risk (&lt; 30%) only 9% of the time.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Tunable.</w:t>
      </w:r>
      <w:r>
        <w:rPr>
          <w:sz w:val="22"/>
          <w:szCs w:val="22"/>
        </w:rPr>
        <w:t xml:space="preserve"> At the recommended setting, 62% of flagged customers are genuine churners and 65% of churners are caught. The bank can trade false alarms against missed customers according to the cost of each campaign.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tier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Customers (of 2,000)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 churn rate</w:t>
            </w:r>
          </w:p>
        </w:tc>
        <w:tc>
          <w:tcPr>
            <w:tcW w:type="dxa" w:w="24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 of all churners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84%</w:t>
            </w:r>
          </w:p>
        </w:tc>
        <w:tc>
          <w:tcPr>
            <w:tcW w:type="dxa" w:w="24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24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1559</w:t>
            </w:r>
          </w:p>
        </w:tc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  <w:tc>
          <w:tcPr>
            <w:tcW w:type="dxa" w:w="24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34%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What drives churn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Age:</w:t>
      </w:r>
      <w:r>
        <w:rPr>
          <w:sz w:val="22"/>
          <w:szCs w:val="22"/>
        </w:rPr>
        <w:t xml:space="preserve"> churn peaks among customers aged 45–62 (≈49%, and 56% for ages 50–59) versus about 10% under 40.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Product depth:</w:t>
      </w:r>
      <w:r>
        <w:rPr>
          <w:sz w:val="22"/>
          <w:szCs w:val="22"/>
        </w:rPr>
        <w:t xml:space="preserve"> customers with two products churn least (8%); single-product customers churn at 28%.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Activity:</w:t>
      </w:r>
      <w:r>
        <w:rPr>
          <w:sz w:val="22"/>
          <w:szCs w:val="22"/>
        </w:rPr>
        <w:t xml:space="preserve"> inactive members churn at 27%, almost double the 14% of active members.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2"/>
          <w:szCs w:val="22"/>
        </w:rPr>
        <w:t xml:space="preserve">Country:</w:t>
      </w:r>
      <w:r>
        <w:rPr>
          <w:sz w:val="22"/>
          <w:szCs w:val="22"/>
        </w:rPr>
        <w:t xml:space="preserve"> German customers churn at 32%, twice the rate in France and Spain.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2"/>
          <w:szCs w:val="22"/>
        </w:rPr>
        <w:t xml:space="preserve">Tenure, credit score, salary and credit-card ownership have almost no predictive value once the above are known.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2"/>
          <w:szCs w:val="22"/>
        </w:rPr>
        <w:t xml:space="preserve">Re-engage inactive customers first, especially single-product customers aged 40–60 (59% churn).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2"/>
          <w:szCs w:val="22"/>
        </w:rPr>
        <w:t xml:space="preserve">Guide single-product customers towards a second product; </w:t>
      </w:r>
      <w:r>
        <w:rPr>
          <w:b/>
          <w:bCs/>
          <w:sz w:val="22"/>
          <w:szCs w:val="22"/>
        </w:rPr>
        <w:t xml:space="preserve">pause pushing a third or fourth</w:t>
      </w:r>
      <w:r>
        <w:rPr>
          <w:sz w:val="22"/>
          <w:szCs w:val="22"/>
        </w:rPr>
        <w:t xml:space="preserve"> until the anomaly below is understood.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2"/>
          <w:szCs w:val="22"/>
        </w:rPr>
        <w:t xml:space="preserve">Commission a market review in Germany and a life-stage offer for ages 45–62.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2"/>
          <w:szCs w:val="22"/>
        </w:rPr>
        <w:t xml:space="preserve">Score the customer base weekly, treat the top 20% as the priority list and keep a random control group to measure what each campaign truly achieves.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Risks and governance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Points requiring attention before deployment</w:t>
            </w:r>
          </w:p>
          <w:p>
            <w:pPr>
              <w:spacing w:after="0" w:line="264"/>
            </w:pPr>
            <w:r>
              <w:rPr>
                <w:b/>
                <w:bCs/>
                <w:sz w:val="21"/>
                <w:szCs w:val="21"/>
              </w:rPr>
              <w:t xml:space="preserve">1. Anomaly:</w:t>
            </w:r>
            <w:r>
              <w:rPr>
                <w:sz w:val="21"/>
                <w:szCs w:val="21"/>
              </w:rPr>
              <w:t xml:space="preserve"> customers holding three or four products left at 83–100%. This is more likely a sign of mis-selling, poor bundle pricing or a data issue than a causal effect, and merits a separate business review.  </w:t>
            </w:r>
            <w:r>
              <w:rPr>
                <w:b/>
                <w:bCs/>
                <w:sz w:val="21"/>
                <w:szCs w:val="21"/>
              </w:rPr>
              <w:t xml:space="preserve">2. Data:</w:t>
            </w:r>
            <w:r>
              <w:rPr>
                <w:sz w:val="21"/>
                <w:szCs w:val="21"/>
              </w:rPr>
              <w:t xml:space="preserve"> the file is a single-year snapshot with no transaction or complaint data; roughly one-third of churners are not predictable from it, and the pipeline must be re-validated on the bank's live data.  </w:t>
            </w:r>
            <w:r>
              <w:rPr>
                <w:b/>
                <w:bCs/>
                <w:sz w:val="21"/>
                <w:szCs w:val="21"/>
              </w:rPr>
              <w:t xml:space="preserve">3. Fairness:</w:t>
            </w:r>
            <w:r>
              <w:rPr>
                <w:sz w:val="21"/>
                <w:szCs w:val="21"/>
              </w:rPr>
              <w:t xml:space="preserve"> the model uses gender and country. Removing gender reduces accuracy by only 0.004 AUC and is recommended for the operational model; error rates should be monitored across groups and legal review obtained before scores drive customer decisions.  </w:t>
            </w:r>
            <w:r>
              <w:rPr>
                <w:b/>
                <w:bCs/>
                <w:sz w:val="21"/>
                <w:szCs w:val="21"/>
              </w:rPr>
              <w:t xml:space="preserve">4. Correlation, not causation:</w:t>
            </w:r>
            <w:r>
              <w:rPr>
                <w:sz w:val="21"/>
                <w:szCs w:val="21"/>
              </w:rPr>
              <w:t xml:space="preserve"> the scores show who is at risk, not what will change their mind.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Deliverables:</w:t>
      </w:r>
      <w:r>
        <w:rPr>
          <w:sz w:val="21"/>
          <w:szCs w:val="21"/>
        </w:rPr>
        <w:t xml:space="preserve"> a full research paper (13 pages), a Streamlit dashboard with a risk calculator, probability distribution, feature-importance dashboard, what-if simulator and batch scoring, and the complete reproducible code.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7"/>
        <w:szCs w:val="17"/>
      </w:rPr>
      <w:t xml:space="preserve">Executive Summary – Bank Customer Churn Risk Scoring  |  Page </w:t>
    </w:r>
    <w:r>
      <w:rPr>
        <w:color w:val="5B67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– Bank Customer Churn Risk Scoring</dc:title>
  <dc:creator>Churn Analytics Project</dc:creator>
  <cp:lastModifiedBy>Un-named</cp:lastModifiedBy>
  <cp:revision>1</cp:revision>
  <dcterms:created xsi:type="dcterms:W3CDTF">2026-09-24T07:30:51.909Z</dcterms:created>
  <dcterms:modified xsi:type="dcterms:W3CDTF">2026-09-24T07:30:51.910Z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