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Collections Performance: Executive Memo</w:t>
      </w:r>
    </w:p>
    <w:p>
      <w:r>
        <w:t>Decision brief | Analysis period: January–August 8, 2026</w:t>
      </w:r>
    </w:p>
    <w:p>
      <w:pPr>
        <w:pStyle w:val="Heading1"/>
      </w:pPr>
      <w:r>
        <w:t>1. What happened?</w:t>
      </w:r>
    </w:p>
    <w:p>
      <w:r>
        <w:t>The available payment data does not show a consistent month-on-month improvement in payment success rate. The rate was 69.84% in January, peaked at 71.52% in February, and was 70.06% in July. August's observed rate was 67.40%, but the dataset only runs through August 8 and should not be compared directly with complete months.</w:t>
      </w:r>
    </w:p>
    <w:p>
      <w:pPr>
        <w:pStyle w:val="Heading1"/>
      </w:pPr>
      <w:r>
        <w:t>2. What may explain the pattern?</w:t>
      </w:r>
    </w:p>
    <w:p>
      <w:r>
        <w:t>Initial portfolio and targeting analyses show differences across risk segments and communication channels, but they do not establish causation. Targeting contact rates were broadly similar across channels before July and from July onward. More analysis is needed to test portfolio mix, campaign attribution, agent performance, and targeting effects.</w:t>
      </w:r>
    </w:p>
    <w:p>
      <w:pPr>
        <w:pStyle w:val="Heading1"/>
      </w:pPr>
      <w:r>
        <w:t>3. Data quality and confidence</w:t>
      </w:r>
    </w:p>
    <w:p>
      <w:r>
        <w:t>The raw payment table contains 25,500 rows. Exact-row deduplication removed 486 excess rows, leaving 25,014 rows. A separate exploratory step retained one row per payment_id, resulting in 25,000 records; this rule requires source-of-truth validation before adoption. After that step, 368 payment references were missing and 2,043 payment records had borrower IDs that did not match the borrower table. The accounts table also had 455 missing borrower IDs and 2,458 non-missing borrower IDs without a match. These issues reduce confidence in attribution and linkage.</w:t>
      </w:r>
    </w:p>
    <w:p>
      <w:r>
        <w:t>Confidence is moderate for the descriptive payment-success calculations and low for conclusions about actual debt recovery, causal drivers, or the reported 11% claim. Payment success rate is not equivalent to recovery rate, which requires a validated recovery numerator and portfolio denominator.</w:t>
      </w:r>
    </w:p>
    <w:p>
      <w:pPr>
        <w:pStyle w:val="Heading1"/>
      </w:pPr>
      <w:r>
        <w:t>4. Recommended action and investment</w:t>
      </w:r>
    </w:p>
    <w:p>
      <w:r>
        <w:t>Do not commit the full ₹10 Cr to a channel or operational intervention based on the current evidence. Better borrower targeting is a reasonable candidate to test, but its incremental recovery and ROI have not been established. Run a controlled pilot that randomly assigns eligible accounts to current targeting and improved targeting, stratified by risk, DPD, loan type, and geography. Measure incremental cash recovered per eligible account, net of reversals and intervention costs, over a prespecified follow-up window.</w:t>
      </w:r>
    </w:p>
    <w:p>
      <w:pPr>
        <w:pStyle w:val="Heading1"/>
      </w:pPr>
      <w:r>
        <w:t>5. Financial impact and next steps</w:t>
      </w:r>
    </w:p>
    <w:p>
      <w:r>
        <w:t>A defensible estimate of incremental recovery, ROI, and break-even cannot yet be calculated because the current analysis does not establish a causal lift or validated cost per incremental rupee recovered. Before investment, reconcile payment IDs and references, validate timestamps and reversal handling, define the recovery denominator, and quantify pilot costs. Scale only if the pilot's incremental recovery and downside case meet a pre-agreed investment hurdle.</w:t>
      </w:r>
    </w:p>
    <w:p>
      <w:r>
        <w:t>Conclusion: The available evidence does not substantiate the reported 11% month-on-month improvement in actual recovery. It also does not prove that the claim is false. Validate the recovery metric and run a controlled experiment before committing the full investment.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