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
        <w:jc w:val="center"/>
      </w:pPr>
      <w:r>
        <w:rPr>
          <w:rFonts w:ascii="Times New Roman" w:cs="Times New Roman" w:eastAsia="Times New Roman" w:hAnsi="Times New Roman"/>
          <w:b/>
          <w:bCs/>
          <w:sz w:val="28"/>
          <w:szCs w:val="28"/>
        </w:rPr>
        <w:t xml:space="preserve">Project Initialization and Planning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Date</w:t>
            </w:r>
          </w:p>
        </w:tc>
        <w:tc>
          <w:tcPr>
            <w:tcW w:type="dxa" w:w="49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30 September 2026</w:t>
            </w:r>
          </w:p>
        </w:tc>
      </w:tr>
      <w:tr>
        <w:tc>
          <w:tcPr>
            <w:tcW w:type="dxa" w:w="44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Team ID</w:t>
            </w:r>
          </w:p>
        </w:tc>
        <w:tc>
          <w:tcPr>
            <w:tcW w:type="dxa" w:w="49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SWTID-2026-2617</w:t>
            </w:r>
          </w:p>
        </w:tc>
      </w:tr>
      <w:tr>
        <w:tc>
          <w:tcPr>
            <w:tcW w:type="dxa" w:w="44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Project Title</w:t>
            </w:r>
          </w:p>
        </w:tc>
        <w:tc>
          <w:tcPr>
            <w:tcW w:type="dxa" w:w="49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EduGenie - Google Gemini Powered Learning Assistant</w:t>
            </w:r>
          </w:p>
        </w:tc>
      </w:tr>
      <w:tr>
        <w:tc>
          <w:tcPr>
            <w:tcW w:type="dxa" w:w="44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Maximum Marks</w:t>
            </w:r>
          </w:p>
        </w:tc>
        <w:tc>
          <w:tcPr>
            <w:tcW w:type="dxa" w:w="49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5 Marks</w:t>
            </w:r>
          </w:p>
        </w:tc>
      </w:tr>
    </w:tbl>
    <w:p>
      <w:pPr>
        <w:keepNext/>
        <w:spacing w:after="120" w:before="260"/>
      </w:pPr>
      <w:r>
        <w:rPr>
          <w:rFonts w:ascii="Times New Roman" w:cs="Times New Roman" w:eastAsia="Times New Roman" w:hAnsi="Times New Roman"/>
          <w:b/>
          <w:bCs/>
          <w:sz w:val="24"/>
          <w:szCs w:val="24"/>
        </w:rPr>
        <w:t xml:space="preserve">Project Proposal (Proposed Solution) report</w:t>
      </w:r>
    </w:p>
    <w:p>
      <w:pPr>
        <w:spacing w:after="200"/>
        <w:jc w:val="both"/>
      </w:pPr>
      <w:r>
        <w:rPr>
          <w:rFonts w:ascii="Times New Roman" w:cs="Times New Roman" w:eastAsia="Times New Roman" w:hAnsi="Times New Roman"/>
          <w:sz w:val="23"/>
          <w:szCs w:val="23"/>
        </w:rPr>
        <w:t xml:space="preserve">The proposal report aims to transform self-learning using generative AI, giving students instant explanations, summaries, quizzes and learning paths. It tackles the difficulty of finding simple, personalised study help, promising faster learning, less stress and better exam preparation. Key features include Google Gemini powered question answering and a single page with five learning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9360"/>
            <w:gridSpan w:val="2"/>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b/>
                <w:bCs/>
                <w:sz w:val="23"/>
                <w:szCs w:val="23"/>
              </w:rPr>
              <w:t xml:space="preserve">Project Overview</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Objective</w:t>
            </w:r>
          </w:p>
        </w:tc>
        <w:tc>
          <w:tcPr>
            <w:tcW w:type="dxa" w:w="69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The primary objective is to build a lightweight AI-powered learning assistant, using FastAPI and Google Gemini, that helps students understand topics, revise quickly and practise with quizzes.</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Scope</w:t>
            </w:r>
          </w:p>
        </w:tc>
        <w:tc>
          <w:tcPr>
            <w:tcW w:type="dxa" w:w="69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The project covers a locally hosted web application with five features: question answering, concept explanation, summarization, quiz generation and learning-path recommendation, for students and self-learners.</w:t>
            </w:r>
          </w:p>
        </w:tc>
      </w:tr>
      <w:tr>
        <w:trPr>
          <w:cantSplit/>
        </w:trPr>
        <w:tc>
          <w:tcPr>
            <w:tcW w:type="dxa" w:w="9360"/>
            <w:gridSpan w:val="2"/>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b/>
                <w:bCs/>
                <w:sz w:val="23"/>
                <w:szCs w:val="23"/>
              </w:rPr>
              <w:t xml:space="preserve">Problem Statement</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Description</w:t>
            </w:r>
          </w:p>
        </w:tc>
        <w:tc>
          <w:tcPr>
            <w:tcW w:type="dxa" w:w="69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Students find long textbooks and scattered search results hard to follow. They lack simple explanations, quick revision support and practice questions that match their own study material.</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Impact</w:t>
            </w:r>
          </w:p>
        </w:tc>
        <w:tc>
          <w:tcPr>
            <w:tcW w:type="dxa" w:w="69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Solving these issues will help learners understand topics faster, revise in less time and prepare with confidence, reducing exam stress and improving learning outcomes.</w:t>
            </w:r>
          </w:p>
        </w:tc>
      </w:tr>
      <w:tr>
        <w:trPr>
          <w:cantSplit/>
        </w:trPr>
        <w:tc>
          <w:tcPr>
            <w:tcW w:type="dxa" w:w="9360"/>
            <w:gridSpan w:val="2"/>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b/>
                <w:bCs/>
                <w:sz w:val="23"/>
                <w:szCs w:val="23"/>
              </w:rPr>
              <w:t xml:space="preserve">Proposed Solution</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Approach</w:t>
            </w:r>
          </w:p>
        </w:tc>
        <w:tc>
          <w:tcPr>
            <w:tcW w:type="dxa" w:w="69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Using the Google Gemini API behind a modular FastAPI backend to generate answers, explanations, summaries, quizzes and learning paths on request, through one simple web page.</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Key Features</w:t>
            </w:r>
          </w:p>
        </w:tc>
        <w:tc>
          <w:tcPr>
            <w:tcW w:type="dxa" w:w="69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 Ask EduGenie: instant answers to educational questions.</w:t>
            </w:r>
          </w:p>
          <w:p>
            <w:r>
              <w:rPr>
                <w:rFonts w:ascii="Times New Roman" w:cs="Times New Roman" w:eastAsia="Times New Roman" w:hAnsi="Times New Roman"/>
                <w:sz w:val="23"/>
                <w:szCs w:val="23"/>
              </w:rPr>
              <w:t xml:space="preserve">- Explain a Topic: simple explanations of difficult concepts.</w:t>
            </w:r>
          </w:p>
          <w:p>
            <w:r>
              <w:rPr>
                <w:rFonts w:ascii="Times New Roman" w:cs="Times New Roman" w:eastAsia="Times New Roman" w:hAnsi="Times New Roman"/>
                <w:sz w:val="23"/>
                <w:szCs w:val="23"/>
              </w:rPr>
              <w:t xml:space="preserve">- Summarize: short summaries of long study material.</w:t>
            </w:r>
          </w:p>
          <w:p>
            <w:r>
              <w:rPr>
                <w:rFonts w:ascii="Times New Roman" w:cs="Times New Roman" w:eastAsia="Times New Roman" w:hAnsi="Times New Roman"/>
                <w:sz w:val="23"/>
                <w:szCs w:val="23"/>
              </w:rPr>
              <w:t xml:space="preserve">- Generate Quiz: 3 multiple-choice questions from any passage.</w:t>
            </w:r>
          </w:p>
          <w:p>
            <w:r>
              <w:rPr>
                <w:rFonts w:ascii="Times New Roman" w:cs="Times New Roman" w:eastAsia="Times New Roman" w:hAnsi="Times New Roman"/>
                <w:sz w:val="23"/>
                <w:szCs w:val="23"/>
              </w:rPr>
              <w:t xml:space="preserve">- Learning Path: structured beginner-to-advanced plan for any subject.</w:t>
            </w:r>
          </w:p>
        </w:tc>
      </w:tr>
    </w:tbl>
    <w:p>
      <w:pPr>
        <w:keepNext/>
        <w:spacing w:after="120" w:before="260"/>
      </w:pPr>
      <w:r>
        <w:rPr>
          <w:rFonts w:ascii="Times New Roman" w:cs="Times New Roman" w:eastAsia="Times New Roman" w:hAnsi="Times New Roman"/>
          <w:b/>
          <w:bCs/>
          <w:sz w:val="24"/>
          <w:szCs w:val="24"/>
        </w:rPr>
        <w:t xml:space="preserve">Resource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b/>
                <w:bCs/>
                <w:sz w:val="23"/>
                <w:szCs w:val="23"/>
              </w:rPr>
              <w:t xml:space="preserve">Resource Type</w:t>
            </w:r>
          </w:p>
        </w:tc>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b/>
                <w:bCs/>
                <w:sz w:val="23"/>
                <w:szCs w:val="23"/>
              </w:rPr>
              <w:t xml:space="preserve">Description</w:t>
            </w:r>
          </w:p>
        </w:tc>
        <w:tc>
          <w:tcPr>
            <w:tcW w:type="dxa" w:w="35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b/>
                <w:bCs/>
                <w:sz w:val="23"/>
                <w:szCs w:val="23"/>
              </w:rPr>
              <w:t xml:space="preserve">Specification/Allocation</w:t>
            </w:r>
          </w:p>
        </w:tc>
      </w:tr>
      <w:tr>
        <w:trPr>
          <w:cantSplit/>
        </w:trPr>
        <w:tc>
          <w:tcPr>
            <w:tcW w:type="dxa" w:w="9360"/>
            <w:gridSpan w:val="3"/>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b/>
                <w:bCs/>
                <w:sz w:val="23"/>
                <w:szCs w:val="23"/>
              </w:rPr>
              <w:t xml:space="preserve">Hardware</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Computing Resources</w:t>
            </w:r>
          </w:p>
        </w:tc>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CPU/GPU specifications, number of cores</w:t>
            </w:r>
          </w:p>
        </w:tc>
        <w:tc>
          <w:tcPr>
            <w:tcW w:type="dxa" w:w="35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Standard laptop or desktop CPU; no GPU needed (the AI model runs in the Google cloud)</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Memory</w:t>
            </w:r>
          </w:p>
        </w:tc>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RAM specifications</w:t>
            </w:r>
          </w:p>
        </w:tc>
        <w:tc>
          <w:tcPr>
            <w:tcW w:type="dxa" w:w="35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4 GB or higher</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Storage</w:t>
            </w:r>
          </w:p>
        </w:tc>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Disk space for data, models, and logs</w:t>
            </w:r>
          </w:p>
        </w:tc>
        <w:tc>
          <w:tcPr>
            <w:tcW w:type="dxa" w:w="35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About 1 GB for the project and virtual environment</w:t>
            </w:r>
          </w:p>
        </w:tc>
      </w:tr>
      <w:tr>
        <w:trPr>
          <w:cantSplit/>
        </w:trPr>
        <w:tc>
          <w:tcPr>
            <w:tcW w:type="dxa" w:w="9360"/>
            <w:gridSpan w:val="3"/>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b/>
                <w:bCs/>
                <w:sz w:val="23"/>
                <w:szCs w:val="23"/>
              </w:rPr>
              <w:t xml:space="preserve">Software</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Frameworks</w:t>
            </w:r>
          </w:p>
        </w:tc>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Python frameworks</w:t>
            </w:r>
          </w:p>
        </w:tc>
        <w:tc>
          <w:tcPr>
            <w:tcW w:type="dxa" w:w="35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FastAPI (served with Uvicorn)</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Libraries</w:t>
            </w:r>
          </w:p>
        </w:tc>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Additional libraries</w:t>
            </w:r>
          </w:p>
        </w:tc>
        <w:tc>
          <w:tcPr>
            <w:tcW w:type="dxa" w:w="35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Gemini API client library and the packages listed in requirements.txt</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Development Environment</w:t>
            </w:r>
          </w:p>
        </w:tc>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IDE</w:t>
            </w:r>
          </w:p>
        </w:tc>
        <w:tc>
          <w:tcPr>
            <w:tcW w:type="dxa" w:w="35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Visual Studio Code with a virtual environment (.venv)</w:t>
            </w:r>
          </w:p>
        </w:tc>
      </w:tr>
      <w:tr>
        <w:trPr>
          <w:cantSplit/>
        </w:trPr>
        <w:tc>
          <w:tcPr>
            <w:tcW w:type="dxa" w:w="9360"/>
            <w:gridSpan w:val="3"/>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b/>
                <w:bCs/>
                <w:sz w:val="23"/>
                <w:szCs w:val="23"/>
              </w:rPr>
              <w:t xml:space="preserve">Data</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Data</w:t>
            </w:r>
          </w:p>
        </w:tc>
        <w:tc>
          <w:tcPr>
            <w:tcW w:type="dxa" w:w="290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Source, size, format</w:t>
            </w:r>
          </w:p>
        </w:tc>
        <w:tc>
          <w:tcPr>
            <w:tcW w:type="dxa" w:w="3560"/>
            <w:tcBorders>
              <w:top w:val="single" w:color="000000" w:sz="6"/>
              <w:left w:val="single" w:color="000000" w:sz="6"/>
              <w:bottom w:val="single" w:color="000000" w:sz="6"/>
              <w:right w:val="single" w:color="000000" w:sz="6"/>
            </w:tcBorders>
            <w:tcMar>
              <w:top w:type="dxa" w:w="70"/>
              <w:left w:type="dxa" w:w="110"/>
              <w:bottom w:type="dxa" w:w="70"/>
              <w:right w:type="dxa" w:w="110"/>
            </w:tcMar>
          </w:tcPr>
          <w:p>
            <w:r>
              <w:rPr>
                <w:rFonts w:ascii="Times New Roman" w:cs="Times New Roman" w:eastAsia="Times New Roman" w:hAnsi="Times New Roman"/>
                <w:sz w:val="23"/>
                <w:szCs w:val="23"/>
              </w:rPr>
              <w:t xml:space="preserve">No external dataset needed; user text input and Gemini API text/JSON output</w:t>
            </w:r>
          </w:p>
        </w:tc>
      </w:tr>
    </w:tbl>
    <w:sectPr>
      <w:headerReference w:type="default" r:id="rId7"/>
      <w:pgSz w:w="12240" w:h="15840" w:orient="portrait"/>
      <w:pgMar w:top="1500" w:right="1440" w:bottom="90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5905500" cy="476250"/>
          <wp:effectExtent t="0" r="0" b="0" l="0"/>
          <wp:docPr id="1" name="logos" descr="SmartBridge and SkillWallet logos" title="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647367cd51cb280200c03f285ead738e8b9d93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2026-10-04T02:17:53.536Z</dcterms:created>
  <dcterms:modified xsi:type="dcterms:W3CDTF">2026-10-04T02:17:53.547Z</dcterms:modified>
</cp:coreProperties>
</file>

<file path=docProps/custom.xml><?xml version="1.0" encoding="utf-8"?>
<Properties xmlns="http://schemas.openxmlformats.org/officeDocument/2006/custom-properties" xmlns:vt="http://schemas.openxmlformats.org/officeDocument/2006/docPropsVTypes"/>
</file>