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Salesforce – Sonata – SuperB Data Linkage Reference Notes</w:t>
      </w:r>
    </w:p>
    <w:p>
      <w:r>
        <w:t>This document captures the linkage diagrams and notes discussed for future reference.</w:t>
      </w:r>
    </w:p>
    <w:p>
      <w:pPr>
        <w:pStyle w:val="Heading2"/>
      </w:pPr>
      <w:r>
        <w:t>1. End-to-End Data Flow</w:t>
      </w:r>
    </w:p>
    <w:p>
      <w:r>
        <w:t>Sonata / SuperB</w:t>
        <w:br/>
        <w:t xml:space="preserve">    │</w:t>
        <w:br/>
        <w:t xml:space="preserve">    │ FundID + Member Account Number</w:t>
        <w:br/>
        <w:t xml:space="preserve">    ▼</w:t>
        <w:br/>
        <w:t>MercerDM.salesforce.transmemberaccount</w:t>
        <w:br/>
        <w:t xml:space="preserve">    │</w:t>
        <w:br/>
        <w:t xml:space="preserve">    ├── fundid</w:t>
        <w:br/>
        <w:t xml:space="preserve">    ├── memberNumber</w:t>
        <w:br/>
        <w:t xml:space="preserve">    ├── accountNumber</w:t>
        <w:br/>
        <w:t xml:space="preserve">    ├── salesforcePersonId</w:t>
        <w:br/>
        <w:t xml:space="preserve">    └── salesforceAccountId</w:t>
        <w:br/>
        <w:t xml:space="preserve">    │</w:t>
        <w:br/>
        <w:t xml:space="preserve">    ▼</w:t>
        <w:br/>
        <w:t>Salesforce Contact</w:t>
        <w:br/>
        <w:t xml:space="preserve">    │</w:t>
        <w:br/>
        <w:t xml:space="preserve">    ▼</w:t>
        <w:br/>
        <w:t>Relationship</w:t>
        <w:br/>
        <w:t xml:space="preserve">    │</w:t>
        <w:br/>
        <w:t xml:space="preserve">    ▼</w:t>
        <w:br/>
        <w:t>Asset Liability</w:t>
        <w:br/>
        <w:t xml:space="preserve">    │</w:t>
        <w:br/>
        <w:t xml:space="preserve">    ▼</w:t>
        <w:br/>
        <w:t>Financial Product</w:t>
      </w:r>
    </w:p>
    <w:p>
      <w:pPr>
        <w:pStyle w:val="Heading2"/>
      </w:pPr>
      <w:r>
        <w:t>2. Bridge Table</w:t>
      </w:r>
    </w:p>
    <w:p>
      <w:r>
        <w:t>The table mercerdm.salesforce.transmemberaccount is the bridge between Sonata/SuperB and Salesforce. It contains FundID, Member Number, Account Number, Salesforce Person ID and Salesforce Account ID.</w:t>
      </w:r>
    </w:p>
    <w:p>
      <w:pPr>
        <w:pStyle w:val="Heading2"/>
      </w:pPr>
      <w:r>
        <w:t>3. KPI Mapping Flow</w:t>
      </w:r>
    </w:p>
    <w:p>
      <w:pPr>
        <w:pStyle w:val="ListBullet"/>
      </w:pPr>
      <w:r>
        <w:t>Login Rate: TransMemberAccount -&gt; Contact -&gt; Login History</w:t>
      </w:r>
    </w:p>
    <w:p>
      <w:pPr>
        <w:pStyle w:val="ListBullet"/>
      </w:pPr>
      <w:r>
        <w:t>Total Calls: TransMemberAccount -&gt; Contact -&gt; Call_Wrap_Code__c</w:t>
      </w:r>
    </w:p>
    <w:p>
      <w:pPr>
        <w:pStyle w:val="ListBullet"/>
      </w:pPr>
      <w:r>
        <w:t>Insurance Covered: TransMemberAccount -&gt; Asset Liability -&gt; Policy</w:t>
      </w:r>
    </w:p>
    <w:p>
      <w:pPr>
        <w:pStyle w:val="ListBullet"/>
      </w:pPr>
      <w:r>
        <w:t>Beneficiary Set: TransMemberAccount -&gt; Contact -&gt; Relationship -&gt; Beneficiary</w:t>
      </w:r>
    </w:p>
    <w:p>
      <w:pPr>
        <w:pStyle w:val="ListBullet"/>
      </w:pPr>
      <w:r>
        <w:t>Investment Switches: Sonata Transactions -&gt; fundid + accountNumber</w:t>
      </w:r>
    </w:p>
    <w:p>
      <w:pPr>
        <w:pStyle w:val="ListBullet"/>
      </w:pPr>
      <w:r>
        <w:t>Third Party Authority: TransMemberAccount -&gt; Contact -&gt; Relationship</w:t>
      </w:r>
    </w:p>
    <w:p>
      <w:pPr>
        <w:pStyle w:val="Heading2"/>
      </w:pPr>
      <w:r>
        <w:t>4. Development Workflow</w:t>
      </w:r>
    </w:p>
    <w:p>
      <w:pPr>
        <w:pStyle w:val="ListNumber"/>
      </w:pPr>
      <w:r>
        <w:t>Identify KPI</w:t>
      </w:r>
    </w:p>
    <w:p>
      <w:pPr>
        <w:pStyle w:val="ListNumber"/>
      </w:pPr>
      <w:r>
        <w:t>Identify source table</w:t>
      </w:r>
    </w:p>
    <w:p>
      <w:pPr>
        <w:pStyle w:val="ListNumber"/>
      </w:pPr>
      <w:r>
        <w:t>Identify join key</w:t>
      </w:r>
    </w:p>
    <w:p>
      <w:pPr>
        <w:pStyle w:val="ListNumber"/>
      </w:pPr>
      <w:r>
        <w:t>Start from TransMemberAccount</w:t>
      </w:r>
    </w:p>
    <w:p>
      <w:pPr>
        <w:pStyle w:val="ListNumber"/>
      </w:pPr>
      <w:r>
        <w:t>Join Salesforce objects</w:t>
      </w:r>
    </w:p>
    <w:p>
      <w:pPr>
        <w:pStyle w:val="ListNumber"/>
      </w:pPr>
      <w:r>
        <w:t>Validate results</w:t>
      </w:r>
    </w:p>
    <w:p>
      <w:pPr>
        <w:pStyle w:val="ListNumber"/>
      </w:pPr>
      <w:r>
        <w:t>Create Power BI dataset</w:t>
      </w:r>
    </w:p>
    <w:p>
      <w:pPr>
        <w:pStyle w:val="Heading2"/>
      </w:pPr>
      <w:r>
        <w:t>5. Reference Architecture</w:t>
      </w:r>
    </w:p>
    <w:p>
      <w:r>
        <w:t>Power BI Dashboard</w:t>
        <w:br/>
        <w:t xml:space="preserve">      │</w:t>
        <w:br/>
        <w:t xml:space="preserve">      ▼</w:t>
        <w:br/>
        <w:t>Business KPI</w:t>
        <w:br/>
        <w:t xml:space="preserve">      │</w:t>
        <w:br/>
        <w:t xml:space="preserve">      ▼</w:t>
        <w:br/>
        <w:t>Source Table</w:t>
        <w:br/>
        <w:t xml:space="preserve">      │</w:t>
        <w:br/>
        <w:t xml:space="preserve">      ▼</w:t>
        <w:br/>
        <w:t>TransMemberAccount (Bridge)</w:t>
        <w:br/>
        <w:t xml:space="preserve">      │</w:t>
        <w:br/>
        <w:t xml:space="preserve">      ├── Contact</w:t>
        <w:br/>
        <w:t xml:space="preserve">      ├── Relationship</w:t>
        <w:br/>
        <w:t xml:space="preserve">      ├── Asset Liability</w:t>
        <w:br/>
        <w:t xml:space="preserve">      ├── Financial Product</w:t>
        <w:br/>
        <w:t xml:space="preserve">      └── Other Salesforce Objects</w:t>
        <w:br/>
        <w:t xml:space="preserve">      │</w:t>
        <w:br/>
        <w:t xml:space="preserve">      ▼</w:t>
        <w:br/>
        <w:t>Power BI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Join 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fundid</w:t>
            </w:r>
          </w:p>
        </w:tc>
        <w:tc>
          <w:tcPr>
            <w:tcW w:type="dxa" w:w="2880"/>
          </w:tcPr>
          <w:p>
            <w:r>
              <w:t>Sonata Fund</w:t>
            </w:r>
          </w:p>
        </w:tc>
        <w:tc>
          <w:tcPr>
            <w:tcW w:type="dxa" w:w="2880"/>
          </w:tcPr>
          <w:p>
            <w:r>
              <w:t>SuperB joins</w:t>
            </w:r>
          </w:p>
        </w:tc>
      </w:tr>
      <w:tr>
        <w:tc>
          <w:tcPr>
            <w:tcW w:type="dxa" w:w="2880"/>
          </w:tcPr>
          <w:p>
            <w:r>
              <w:t>accountNumber</w:t>
            </w:r>
          </w:p>
        </w:tc>
        <w:tc>
          <w:tcPr>
            <w:tcW w:type="dxa" w:w="2880"/>
          </w:tcPr>
          <w:p>
            <w:r>
              <w:t>Member Account</w:t>
            </w:r>
          </w:p>
        </w:tc>
        <w:tc>
          <w:tcPr>
            <w:tcW w:type="dxa" w:w="2880"/>
          </w:tcPr>
          <w:p>
            <w:r>
              <w:t>Member mapping</w:t>
            </w:r>
          </w:p>
        </w:tc>
      </w:tr>
      <w:tr>
        <w:tc>
          <w:tcPr>
            <w:tcW w:type="dxa" w:w="2880"/>
          </w:tcPr>
          <w:p>
            <w:r>
              <w:t>salesforcePersonId</w:t>
            </w:r>
          </w:p>
        </w:tc>
        <w:tc>
          <w:tcPr>
            <w:tcW w:type="dxa" w:w="2880"/>
          </w:tcPr>
          <w:p>
            <w:r>
              <w:t>Salesforce Contact ID</w:t>
            </w:r>
          </w:p>
        </w:tc>
        <w:tc>
          <w:tcPr>
            <w:tcW w:type="dxa" w:w="2880"/>
          </w:tcPr>
          <w:p>
            <w:r>
              <w:t>Contact-based KPIs</w:t>
            </w:r>
          </w:p>
        </w:tc>
      </w:tr>
      <w:tr>
        <w:tc>
          <w:tcPr>
            <w:tcW w:type="dxa" w:w="2880"/>
          </w:tcPr>
          <w:p>
            <w:r>
              <w:t>salesforceAccountId</w:t>
            </w:r>
          </w:p>
        </w:tc>
        <w:tc>
          <w:tcPr>
            <w:tcW w:type="dxa" w:w="2880"/>
          </w:tcPr>
          <w:p>
            <w:r>
              <w:t>Salesforce Account ID</w:t>
            </w:r>
          </w:p>
        </w:tc>
        <w:tc>
          <w:tcPr>
            <w:tcW w:type="dxa" w:w="2880"/>
          </w:tcPr>
          <w:p>
            <w:r>
              <w:t>Policy/Asset joins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