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alesforce-staging-gap-analysis-report"/>
    <w:p>
      <w:pPr>
        <w:pStyle w:val="Heading1"/>
      </w:pPr>
      <w:r>
        <w:t xml:space="preserve">SALESFORCE (STAGING) GAP ANALYSIS REPORT</w:t>
      </w:r>
    </w:p>
    <w:bookmarkStart w:id="21" w:name="behavioural-metrics-source-assessment"/>
    <w:p>
      <w:pPr>
        <w:pStyle w:val="Heading2"/>
      </w:pPr>
      <w:r>
        <w:t xml:space="preserve">Behavioural Metrics Source Assessment</w:t>
      </w:r>
    </w:p>
    <w:bookmarkStart w:id="20" w:name="version-control"/>
    <w:p>
      <w:pPr>
        <w:pStyle w:val="Heading3"/>
      </w:pPr>
      <w:r>
        <w:t xml:space="preserve">Version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r>
      <w:tr>
        <w:tc>
          <w:tcPr/>
          <w:p>
            <w:pPr>
              <w:pStyle w:val="Compact"/>
            </w:pPr>
            <w:r>
              <w:t xml:space="preserve">1.0</w:t>
            </w:r>
          </w:p>
        </w:tc>
        <w:tc>
          <w:tcPr/>
          <w:p>
            <w:pPr>
              <w:pStyle w:val="Compact"/>
            </w:pPr>
            <w:r>
              <w:t xml:space="preserve">June 2026</w:t>
            </w:r>
          </w:p>
        </w:tc>
        <w:tc>
          <w:tcPr/>
          <w:p>
            <w:pPr>
              <w:pStyle w:val="Compact"/>
            </w:pPr>
            <w:r>
              <w:t xml:space="preserve">Keerthi KS</w:t>
            </w:r>
          </w:p>
        </w:tc>
      </w:tr>
    </w:tbl>
    <w:bookmarkEnd w:id="20"/>
    <w:bookmarkEnd w:id="21"/>
    <w:bookmarkEnd w:id="22"/>
    <w:bookmarkStart w:id="23" w:name="table-of-contents"/>
    <w:p>
      <w:pPr>
        <w:pStyle w:val="Heading1"/>
      </w:pPr>
      <w:r>
        <w:t xml:space="preserve">Table of Contents</w:t>
      </w:r>
    </w:p>
    <w:p>
      <w:pPr>
        <w:pStyle w:val="Compact"/>
        <w:numPr>
          <w:ilvl w:val="0"/>
          <w:numId w:val="1001"/>
        </w:numPr>
      </w:pPr>
      <w:r>
        <w:t xml:space="preserve">Executive Summary</w:t>
      </w:r>
    </w:p>
    <w:p>
      <w:pPr>
        <w:pStyle w:val="Compact"/>
        <w:numPr>
          <w:ilvl w:val="0"/>
          <w:numId w:val="1001"/>
        </w:numPr>
      </w:pPr>
      <w:r>
        <w:t xml:space="preserve">Purpose</w:t>
      </w:r>
    </w:p>
    <w:p>
      <w:pPr>
        <w:pStyle w:val="Compact"/>
        <w:numPr>
          <w:ilvl w:val="0"/>
          <w:numId w:val="1001"/>
        </w:numPr>
      </w:pPr>
      <w:r>
        <w:t xml:space="preserve">Scope</w:t>
      </w:r>
    </w:p>
    <w:p>
      <w:pPr>
        <w:pStyle w:val="Compact"/>
        <w:numPr>
          <w:ilvl w:val="0"/>
          <w:numId w:val="1001"/>
        </w:numPr>
      </w:pPr>
      <w:r>
        <w:t xml:space="preserve">Analysis Performed</w:t>
      </w:r>
    </w:p>
    <w:p>
      <w:pPr>
        <w:pStyle w:val="Compact"/>
        <w:numPr>
          <w:ilvl w:val="0"/>
          <w:numId w:val="1001"/>
        </w:numPr>
      </w:pPr>
      <w:r>
        <w:t xml:space="preserve">Key Findings</w:t>
      </w:r>
    </w:p>
    <w:p>
      <w:pPr>
        <w:pStyle w:val="Compact"/>
        <w:numPr>
          <w:ilvl w:val="0"/>
          <w:numId w:val="1001"/>
        </w:numPr>
      </w:pPr>
      <w:r>
        <w:t xml:space="preserve">Gaps and Dependencies</w:t>
      </w:r>
    </w:p>
    <w:p>
      <w:pPr>
        <w:pStyle w:val="Compact"/>
        <w:numPr>
          <w:ilvl w:val="0"/>
          <w:numId w:val="1001"/>
        </w:numPr>
      </w:pPr>
      <w:r>
        <w:t xml:space="preserve">Recommendations</w:t>
      </w:r>
    </w:p>
    <w:p>
      <w:pPr>
        <w:pStyle w:val="Compact"/>
        <w:numPr>
          <w:ilvl w:val="0"/>
          <w:numId w:val="1001"/>
        </w:numPr>
      </w:pPr>
      <w:r>
        <w:t xml:space="preserve">Conclusion</w:t>
      </w:r>
    </w:p>
    <w:bookmarkEnd w:id="23"/>
    <w:bookmarkStart w:id="24" w:name="executive-summary"/>
    <w:p>
      <w:pPr>
        <w:pStyle w:val="Heading1"/>
      </w:pPr>
      <w:r>
        <w:t xml:space="preserve">1. Executive Summary</w:t>
      </w:r>
    </w:p>
    <w:p>
      <w:pPr>
        <w:pStyle w:val="FirstParagraph"/>
      </w:pPr>
      <w:r>
        <w:t xml:space="preserve">This document summarizes the gap analysis conducted on the Salesforce staging environment to assess its ability to support the behavioural reporting requirements defined within the Business Requirements Document (BRD).</w:t>
      </w:r>
    </w:p>
    <w:p>
      <w:pPr>
        <w:pStyle w:val="BodyText"/>
      </w:pPr>
      <w:r>
        <w:t xml:space="preserve">The analysis focused on identifying relevant source data, assessing data availability, and documenting any gaps, assumptions, and dependencies that may impact future reporting development.</w:t>
      </w:r>
    </w:p>
    <w:p>
      <w:pPr>
        <w:pStyle w:val="BodyText"/>
      </w:pPr>
      <w:r>
        <w:t xml:space="preserve">Detailed source mappings and analysis results are available in the accompanying Excel workbook.</w:t>
      </w:r>
    </w:p>
    <w:bookmarkEnd w:id="24"/>
    <w:bookmarkStart w:id="25" w:name="purpose"/>
    <w:p>
      <w:pPr>
        <w:pStyle w:val="Heading1"/>
      </w:pPr>
      <w:r>
        <w:t xml:space="preserve">2. Purpose</w:t>
      </w:r>
    </w:p>
    <w:p>
      <w:pPr>
        <w:pStyle w:val="FirstParagraph"/>
      </w:pPr>
      <w:r>
        <w:t xml:space="preserve">The purpose of this assessment was to:</w:t>
      </w:r>
    </w:p>
    <w:p>
      <w:pPr>
        <w:pStyle w:val="Compact"/>
        <w:numPr>
          <w:ilvl w:val="0"/>
          <w:numId w:val="1002"/>
        </w:numPr>
      </w:pPr>
      <w:r>
        <w:t xml:space="preserve">Evaluate the Salesforce staging environment as a source for behavioural metrics.</w:t>
      </w:r>
    </w:p>
    <w:p>
      <w:pPr>
        <w:pStyle w:val="Compact"/>
        <w:numPr>
          <w:ilvl w:val="0"/>
          <w:numId w:val="1002"/>
        </w:numPr>
      </w:pPr>
      <w:r>
        <w:t xml:space="preserve">Validate the availability of required data elements.</w:t>
      </w:r>
    </w:p>
    <w:p>
      <w:pPr>
        <w:pStyle w:val="Compact"/>
        <w:numPr>
          <w:ilvl w:val="0"/>
          <w:numId w:val="1002"/>
        </w:numPr>
      </w:pPr>
      <w:r>
        <w:t xml:space="preserve">Identify potential gaps and dependencies.</w:t>
      </w:r>
    </w:p>
    <w:p>
      <w:pPr>
        <w:pStyle w:val="Compact"/>
        <w:numPr>
          <w:ilvl w:val="0"/>
          <w:numId w:val="1002"/>
        </w:numPr>
      </w:pPr>
      <w:r>
        <w:t xml:space="preserve">Support future dashboard development activities.</w:t>
      </w:r>
    </w:p>
    <w:bookmarkEnd w:id="25"/>
    <w:bookmarkStart w:id="26" w:name="scope"/>
    <w:p>
      <w:pPr>
        <w:pStyle w:val="Heading1"/>
      </w:pPr>
      <w:r>
        <w:t xml:space="preserve">3. Scope</w:t>
      </w:r>
    </w:p>
    <w:p>
      <w:pPr>
        <w:pStyle w:val="FirstParagraph"/>
      </w:pPr>
      <w:r>
        <w:t xml:space="preserve">The analysis covered behavioural metrics identified within the BRD and included:</w:t>
      </w:r>
    </w:p>
    <w:p>
      <w:pPr>
        <w:pStyle w:val="Compact"/>
        <w:numPr>
          <w:ilvl w:val="0"/>
          <w:numId w:val="1003"/>
        </w:numPr>
      </w:pPr>
      <w:r>
        <w:t xml:space="preserve">Review of available staging data structures.</w:t>
      </w:r>
    </w:p>
    <w:p>
      <w:pPr>
        <w:pStyle w:val="Compact"/>
        <w:numPr>
          <w:ilvl w:val="0"/>
          <w:numId w:val="1003"/>
        </w:numPr>
      </w:pPr>
      <w:r>
        <w:t xml:space="preserve">Source identification activities.</w:t>
      </w:r>
    </w:p>
    <w:p>
      <w:pPr>
        <w:pStyle w:val="Compact"/>
        <w:numPr>
          <w:ilvl w:val="0"/>
          <w:numId w:val="1003"/>
        </w:numPr>
      </w:pPr>
      <w:r>
        <w:t xml:space="preserve">Data availability assessment.</w:t>
      </w:r>
    </w:p>
    <w:p>
      <w:pPr>
        <w:pStyle w:val="Compact"/>
        <w:numPr>
          <w:ilvl w:val="0"/>
          <w:numId w:val="1003"/>
        </w:numPr>
      </w:pPr>
      <w:r>
        <w:t xml:space="preserve">Gap analysis and clarification tracking.</w:t>
      </w:r>
    </w:p>
    <w:bookmarkEnd w:id="26"/>
    <w:bookmarkStart w:id="27" w:name="analysis-performed"/>
    <w:p>
      <w:pPr>
        <w:pStyle w:val="Heading1"/>
      </w:pPr>
      <w:r>
        <w:t xml:space="preserve">4. Analysis Performed</w:t>
      </w:r>
    </w:p>
    <w:p>
      <w:pPr>
        <w:pStyle w:val="FirstParagraph"/>
      </w:pPr>
      <w:r>
        <w:t xml:space="preserve">The following activities were completed:</w:t>
      </w:r>
    </w:p>
    <w:p>
      <w:pPr>
        <w:pStyle w:val="Compact"/>
        <w:numPr>
          <w:ilvl w:val="0"/>
          <w:numId w:val="1004"/>
        </w:numPr>
      </w:pPr>
      <w:r>
        <w:t xml:space="preserve">Reviewed behavioural metric requirements.</w:t>
      </w:r>
    </w:p>
    <w:p>
      <w:pPr>
        <w:pStyle w:val="Compact"/>
        <w:numPr>
          <w:ilvl w:val="0"/>
          <w:numId w:val="1004"/>
        </w:numPr>
      </w:pPr>
      <w:r>
        <w:t xml:space="preserve">Assessed available staging data sources.</w:t>
      </w:r>
    </w:p>
    <w:p>
      <w:pPr>
        <w:pStyle w:val="Compact"/>
        <w:numPr>
          <w:ilvl w:val="0"/>
          <w:numId w:val="1004"/>
        </w:numPr>
      </w:pPr>
      <w:r>
        <w:t xml:space="preserve">Identified potential source locations.</w:t>
      </w:r>
    </w:p>
    <w:p>
      <w:pPr>
        <w:pStyle w:val="Compact"/>
        <w:numPr>
          <w:ilvl w:val="0"/>
          <w:numId w:val="1004"/>
        </w:numPr>
      </w:pPr>
      <w:r>
        <w:t xml:space="preserve">Evaluated data availability and suitability.</w:t>
      </w:r>
    </w:p>
    <w:p>
      <w:pPr>
        <w:pStyle w:val="Compact"/>
        <w:numPr>
          <w:ilvl w:val="0"/>
          <w:numId w:val="1004"/>
        </w:numPr>
      </w:pPr>
      <w:r>
        <w:t xml:space="preserve">Documented findings and open questions.</w:t>
      </w:r>
    </w:p>
    <w:p>
      <w:pPr>
        <w:pStyle w:val="Compact"/>
        <w:numPr>
          <w:ilvl w:val="0"/>
          <w:numId w:val="1004"/>
        </w:numPr>
      </w:pPr>
      <w:r>
        <w:t xml:space="preserve">Raised clarification requests where required.</w:t>
      </w:r>
    </w:p>
    <w:bookmarkEnd w:id="27"/>
    <w:bookmarkStart w:id="28" w:name="key-findings"/>
    <w:p>
      <w:pPr>
        <w:pStyle w:val="Heading1"/>
      </w:pPr>
      <w:r>
        <w:t xml:space="preserve">5. Key Findings</w:t>
      </w:r>
    </w:p>
    <w:p>
      <w:pPr>
        <w:pStyle w:val="FirstParagraph"/>
      </w:pPr>
      <w:r>
        <w:t xml:space="preserve">The analysis identified potential source data for the majority of behavioural reporting requirements.</w:t>
      </w:r>
    </w:p>
    <w:p>
      <w:pPr>
        <w:pStyle w:val="BodyText"/>
      </w:pPr>
      <w:r>
        <w:t xml:space="preserve">Key observations include:</w:t>
      </w:r>
    </w:p>
    <w:p>
      <w:pPr>
        <w:pStyle w:val="Compact"/>
        <w:numPr>
          <w:ilvl w:val="0"/>
          <w:numId w:val="1005"/>
        </w:numPr>
      </w:pPr>
      <w:r>
        <w:t xml:space="preserve">Relevant source data has been identified for most behavioural metrics.</w:t>
      </w:r>
    </w:p>
    <w:p>
      <w:pPr>
        <w:pStyle w:val="Compact"/>
        <w:numPr>
          <w:ilvl w:val="0"/>
          <w:numId w:val="1005"/>
        </w:numPr>
      </w:pPr>
      <w:r>
        <w:t xml:space="preserve">Initial source mapping has been completed.</w:t>
      </w:r>
    </w:p>
    <w:p>
      <w:pPr>
        <w:pStyle w:val="Compact"/>
        <w:numPr>
          <w:ilvl w:val="0"/>
          <w:numId w:val="1005"/>
        </w:numPr>
      </w:pPr>
      <w:r>
        <w:t xml:space="preserve">Certain metrics require confirmation of business rules and source usage.</w:t>
      </w:r>
    </w:p>
    <w:p>
      <w:pPr>
        <w:pStyle w:val="Compact"/>
        <w:numPr>
          <w:ilvl w:val="0"/>
          <w:numId w:val="1005"/>
        </w:numPr>
      </w:pPr>
      <w:r>
        <w:t xml:space="preserve">Additional clarification is required for selected data elements before implementation.</w:t>
      </w:r>
    </w:p>
    <w:bookmarkEnd w:id="28"/>
    <w:bookmarkStart w:id="29" w:name="gaps-and-dependencies"/>
    <w:p>
      <w:pPr>
        <w:pStyle w:val="Heading1"/>
      </w:pPr>
      <w:r>
        <w:t xml:space="preserve">6. Gaps and Dependencies</w:t>
      </w:r>
    </w:p>
    <w:p>
      <w:pPr>
        <w:pStyle w:val="FirstParagraph"/>
      </w:pPr>
      <w:r>
        <w:t xml:space="preserve">The following dependencies remain open:</w:t>
      </w:r>
    </w:p>
    <w:p>
      <w:pPr>
        <w:pStyle w:val="Compact"/>
        <w:numPr>
          <w:ilvl w:val="0"/>
          <w:numId w:val="1006"/>
        </w:numPr>
      </w:pPr>
      <w:r>
        <w:t xml:space="preserve">Confirmation of source selection for specific behavioural metrics.</w:t>
      </w:r>
    </w:p>
    <w:p>
      <w:pPr>
        <w:pStyle w:val="Compact"/>
        <w:numPr>
          <w:ilvl w:val="0"/>
          <w:numId w:val="1006"/>
        </w:numPr>
      </w:pPr>
      <w:r>
        <w:t xml:space="preserve">Validation of calculation logic.</w:t>
      </w:r>
    </w:p>
    <w:p>
      <w:pPr>
        <w:pStyle w:val="Compact"/>
        <w:numPr>
          <w:ilvl w:val="0"/>
          <w:numId w:val="1006"/>
        </w:numPr>
      </w:pPr>
      <w:r>
        <w:t xml:space="preserve">Clarification of data sourcing assumptions.</w:t>
      </w:r>
    </w:p>
    <w:p>
      <w:pPr>
        <w:pStyle w:val="Compact"/>
        <w:numPr>
          <w:ilvl w:val="0"/>
          <w:numId w:val="1006"/>
        </w:numPr>
      </w:pPr>
      <w:r>
        <w:t xml:space="preserve">Resolution of outstanding questions raised during analysis.</w:t>
      </w:r>
    </w:p>
    <w:p>
      <w:pPr>
        <w:pStyle w:val="FirstParagraph"/>
      </w:pPr>
      <w:r>
        <w:t xml:space="preserve">Detailed information is maintained within the attached Excel workbook.</w:t>
      </w:r>
    </w:p>
    <w:bookmarkEnd w:id="29"/>
    <w:bookmarkStart w:id="30" w:name="recommendations"/>
    <w:p>
      <w:pPr>
        <w:pStyle w:val="Heading1"/>
      </w:pPr>
      <w:r>
        <w:t xml:space="preserve">7. Recommendations</w:t>
      </w:r>
    </w:p>
    <w:p>
      <w:pPr>
        <w:pStyle w:val="FirstParagraph"/>
      </w:pPr>
      <w:r>
        <w:t xml:space="preserve">The following actions are recommended:</w:t>
      </w:r>
    </w:p>
    <w:p>
      <w:pPr>
        <w:pStyle w:val="Compact"/>
        <w:numPr>
          <w:ilvl w:val="0"/>
          <w:numId w:val="1007"/>
        </w:numPr>
      </w:pPr>
      <w:r>
        <w:t xml:space="preserve">Review outstanding questions with the Salesforce and business teams.</w:t>
      </w:r>
    </w:p>
    <w:p>
      <w:pPr>
        <w:pStyle w:val="Compact"/>
        <w:numPr>
          <w:ilvl w:val="0"/>
          <w:numId w:val="1007"/>
        </w:numPr>
      </w:pPr>
      <w:r>
        <w:t xml:space="preserve">Validate source mappings and business logic.</w:t>
      </w:r>
    </w:p>
    <w:p>
      <w:pPr>
        <w:pStyle w:val="Compact"/>
        <w:numPr>
          <w:ilvl w:val="0"/>
          <w:numId w:val="1007"/>
        </w:numPr>
      </w:pPr>
      <w:r>
        <w:t xml:space="preserve">Finalize metric definitions.</w:t>
      </w:r>
    </w:p>
    <w:p>
      <w:pPr>
        <w:pStyle w:val="Compact"/>
        <w:numPr>
          <w:ilvl w:val="0"/>
          <w:numId w:val="1007"/>
        </w:numPr>
      </w:pPr>
      <w:r>
        <w:t xml:space="preserve">Obtain stakeholder approval prior to development.</w:t>
      </w:r>
    </w:p>
    <w:bookmarkEnd w:id="30"/>
    <w:bookmarkStart w:id="31" w:name="conclusion"/>
    <w:p>
      <w:pPr>
        <w:pStyle w:val="Heading1"/>
      </w:pPr>
      <w:r>
        <w:t xml:space="preserve">8. Conclusion</w:t>
      </w:r>
    </w:p>
    <w:p>
      <w:pPr>
        <w:pStyle w:val="FirstParagraph"/>
      </w:pPr>
      <w:r>
        <w:t xml:space="preserve">The Salesforce staging gap analysis has been completed and documented.</w:t>
      </w:r>
    </w:p>
    <w:p>
      <w:pPr>
        <w:pStyle w:val="BodyText"/>
      </w:pPr>
      <w:r>
        <w:t xml:space="preserve">Suitable source data has been identified for most behavioural metrics. Remaining activities relate primarily to clarification and validation of identified sources. Following closure of these items, development can proceed with confidence.</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2026-06-12T03:09:39Z</dcterms:created>
  <dcterms:modified xsi:type="dcterms:W3CDTF">2026-06-12T03:09:39Z</dcterms:modified>
</cp:coreProperties>
</file>

<file path=docProps/custom.xml><?xml version="1.0" encoding="utf-8"?>
<Properties xmlns="http://schemas.openxmlformats.org/officeDocument/2006/custom-properties" xmlns:vt="http://schemas.openxmlformats.org/officeDocument/2006/docPropsVTypes"/>
</file>