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salesforce-staging-gap-analysis-report"/>
    <w:p>
      <w:pPr>
        <w:pStyle w:val="Heading1"/>
      </w:pPr>
      <w:r>
        <w:t xml:space="preserve">SALESFORCE (STAGING) GAP ANALYSIS REPORT</w:t>
      </w:r>
    </w:p>
    <w:bookmarkStart w:id="21" w:name="behavioural-metrics-source-assessment"/>
    <w:p>
      <w:pPr>
        <w:pStyle w:val="Heading2"/>
      </w:pPr>
      <w:r>
        <w:t xml:space="preserve">Behavioural Metrics Source Assessment</w:t>
      </w:r>
    </w:p>
    <w:bookmarkStart w:id="20" w:name="version-history"/>
    <w:p>
      <w:pPr>
        <w:pStyle w:val="Heading3"/>
      </w:pPr>
      <w:r>
        <w:t xml:space="preserve">Version History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June 2026</w:t>
            </w:r>
          </w:p>
        </w:tc>
        <w:tc>
          <w:tcPr/>
          <w:p>
            <w:pPr>
              <w:pStyle w:val="Compact"/>
            </w:pPr>
            <w:r>
              <w:t xml:space="preserve">Keerthi KS</w:t>
            </w:r>
          </w:p>
        </w:tc>
        <w:tc>
          <w:tcPr/>
          <w:p>
            <w:pPr>
              <w:pStyle w:val="Compact"/>
            </w:pPr>
            <w:r>
              <w:t xml:space="preserve">Initial Gap Analysis</w:t>
            </w:r>
          </w:p>
        </w:tc>
      </w:tr>
    </w:tbl>
    <w:bookmarkEnd w:id="20"/>
    <w:bookmarkEnd w:id="21"/>
    <w:bookmarkEnd w:id="22"/>
    <w:bookmarkStart w:id="23" w:name="table-of-contents"/>
    <w:p>
      <w:pPr>
        <w:pStyle w:val="Heading1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r>
        <w:t xml:space="preserve">Executive Summary</w:t>
      </w:r>
    </w:p>
    <w:p>
      <w:pPr>
        <w:pStyle w:val="Compact"/>
        <w:numPr>
          <w:ilvl w:val="0"/>
          <w:numId w:val="1001"/>
        </w:numPr>
      </w:pPr>
      <w:r>
        <w:t xml:space="preserve">Purpose</w:t>
      </w:r>
    </w:p>
    <w:p>
      <w:pPr>
        <w:pStyle w:val="Compact"/>
        <w:numPr>
          <w:ilvl w:val="0"/>
          <w:numId w:val="1001"/>
        </w:numPr>
      </w:pPr>
      <w:r>
        <w:t xml:space="preserve">Scope</w:t>
      </w:r>
    </w:p>
    <w:p>
      <w:pPr>
        <w:pStyle w:val="Compact"/>
        <w:numPr>
          <w:ilvl w:val="0"/>
          <w:numId w:val="1001"/>
        </w:numPr>
      </w:pPr>
      <w:r>
        <w:t xml:space="preserve">Analysis Approach</w:t>
      </w:r>
    </w:p>
    <w:p>
      <w:pPr>
        <w:pStyle w:val="Compact"/>
        <w:numPr>
          <w:ilvl w:val="0"/>
          <w:numId w:val="1001"/>
        </w:numPr>
      </w:pPr>
      <w:r>
        <w:t xml:space="preserve">Staging Source Assessment</w:t>
      </w:r>
    </w:p>
    <w:p>
      <w:pPr>
        <w:pStyle w:val="Compact"/>
        <w:numPr>
          <w:ilvl w:val="0"/>
          <w:numId w:val="1001"/>
        </w:numPr>
      </w:pPr>
      <w:r>
        <w:t xml:space="preserve">Identified Gaps</w:t>
      </w:r>
    </w:p>
    <w:p>
      <w:pPr>
        <w:pStyle w:val="Compact"/>
        <w:numPr>
          <w:ilvl w:val="0"/>
          <w:numId w:val="1001"/>
        </w:numPr>
      </w:pPr>
      <w:r>
        <w:t xml:space="preserve">Open Questions</w:t>
      </w:r>
    </w:p>
    <w:p>
      <w:pPr>
        <w:pStyle w:val="Compact"/>
        <w:numPr>
          <w:ilvl w:val="0"/>
          <w:numId w:val="1001"/>
        </w:numPr>
      </w:pPr>
      <w:r>
        <w:t xml:space="preserve">Recommendations</w:t>
      </w:r>
    </w:p>
    <w:p>
      <w:pPr>
        <w:pStyle w:val="Compact"/>
        <w:numPr>
          <w:ilvl w:val="0"/>
          <w:numId w:val="1001"/>
        </w:numPr>
      </w:pPr>
      <w:r>
        <w:t xml:space="preserve">Conclusion</w:t>
      </w:r>
    </w:p>
    <w:bookmarkEnd w:id="23"/>
    <w:bookmarkStart w:id="24" w:name="executive-summary"/>
    <w:p>
      <w:pPr>
        <w:pStyle w:val="Heading1"/>
      </w:pPr>
      <w:r>
        <w:t xml:space="preserve">1. Executive Summary</w:t>
      </w:r>
    </w:p>
    <w:p>
      <w:pPr>
        <w:pStyle w:val="FirstParagraph"/>
      </w:pPr>
      <w:r>
        <w:t xml:space="preserve">This document summarizes the analysis performed on Salesforce staging tables to determine availability of data required for Behavioural Metrics reporting.</w:t>
      </w:r>
    </w:p>
    <w:bookmarkEnd w:id="24"/>
    <w:bookmarkStart w:id="25" w:name="purpose"/>
    <w:p>
      <w:pPr>
        <w:pStyle w:val="Heading1"/>
      </w:pPr>
      <w:r>
        <w:t xml:space="preserve">2. Purpose</w:t>
      </w:r>
    </w:p>
    <w:p>
      <w:pPr>
        <w:pStyle w:val="FirstParagraph"/>
      </w:pPr>
      <w:r>
        <w:t xml:space="preserve">The objective is to identify source tables, validate data availability, and highlight gaps impacting behavioural metric calculations.</w:t>
      </w:r>
    </w:p>
    <w:bookmarkEnd w:id="25"/>
    <w:bookmarkStart w:id="26" w:name="scope"/>
    <w:p>
      <w:pPr>
        <w:pStyle w:val="Heading1"/>
      </w:pPr>
      <w:r>
        <w:t xml:space="preserve">3. Scope</w:t>
      </w:r>
    </w:p>
    <w:p>
      <w:pPr>
        <w:pStyle w:val="FirstParagraph"/>
      </w:pPr>
      <w:r>
        <w:t xml:space="preserve">The following staging tables were assessed:</w:t>
      </w:r>
    </w:p>
    <w:p>
      <w:pPr>
        <w:pStyle w:val="Compact"/>
        <w:numPr>
          <w:ilvl w:val="0"/>
          <w:numId w:val="1002"/>
        </w:numPr>
      </w:pPr>
      <w:r>
        <w:t xml:space="preserve">mwOutcomes</w:t>
      </w:r>
    </w:p>
    <w:p>
      <w:pPr>
        <w:pStyle w:val="Compact"/>
        <w:numPr>
          <w:ilvl w:val="0"/>
          <w:numId w:val="1002"/>
        </w:numPr>
      </w:pPr>
      <w:r>
        <w:t xml:space="preserve">mwInquiryCodeJobs</w:t>
      </w:r>
    </w:p>
    <w:p>
      <w:pPr>
        <w:pStyle w:val="Compact"/>
        <w:numPr>
          <w:ilvl w:val="0"/>
          <w:numId w:val="1002"/>
        </w:numPr>
      </w:pPr>
      <w:r>
        <w:t xml:space="preserve">pin.superMatch_Requests_Funds</w:t>
      </w:r>
    </w:p>
    <w:p>
      <w:pPr>
        <w:pStyle w:val="Compact"/>
        <w:numPr>
          <w:ilvl w:val="0"/>
          <w:numId w:val="1002"/>
        </w:numPr>
      </w:pPr>
      <w:r>
        <w:t xml:space="preserve">Beneficiary</w:t>
      </w:r>
    </w:p>
    <w:p>
      <w:pPr>
        <w:pStyle w:val="Compact"/>
        <w:numPr>
          <w:ilvl w:val="0"/>
          <w:numId w:val="1002"/>
        </w:numPr>
      </w:pPr>
      <w:r>
        <w:t xml:space="preserve">Account_Transaction related staging sources</w:t>
      </w:r>
    </w:p>
    <w:bookmarkEnd w:id="26"/>
    <w:bookmarkStart w:id="27" w:name="analysis-approach"/>
    <w:p>
      <w:pPr>
        <w:pStyle w:val="Heading1"/>
      </w:pPr>
      <w:r>
        <w:t xml:space="preserve">4. Analysis Approach</w:t>
      </w:r>
    </w:p>
    <w:p>
      <w:pPr>
        <w:pStyle w:val="FirstParagraph"/>
      </w:pPr>
      <w:r>
        <w:t xml:space="preserve">Each behavioural metric was reviewed against available staging tables and source columns.</w:t>
      </w:r>
    </w:p>
    <w:bookmarkEnd w:id="27"/>
    <w:bookmarkStart w:id="28" w:name="staging-source-assessment"/>
    <w:p>
      <w:pPr>
        <w:pStyle w:val="Heading1"/>
      </w:pPr>
      <w:r>
        <w:t xml:space="preserve">5. Staging Source Assessment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KPI</w:t>
            </w:r>
          </w:p>
        </w:tc>
        <w:tc>
          <w:tcPr/>
          <w:p>
            <w:pPr>
              <w:pStyle w:val="Compact"/>
            </w:pPr>
            <w:r>
              <w:t xml:space="preserve">Table</w:t>
            </w:r>
          </w:p>
        </w:tc>
        <w:tc>
          <w:tcPr/>
          <w:p>
            <w:pPr>
              <w:pStyle w:val="Compact"/>
            </w:pPr>
            <w:r>
              <w:t xml:space="preserve">Column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Helpline Data</w:t>
            </w:r>
          </w:p>
        </w:tc>
        <w:tc>
          <w:tcPr/>
          <w:p>
            <w:pPr>
              <w:pStyle w:val="Compact"/>
            </w:pPr>
            <w:r>
              <w:t xml:space="preserve">mwOutcomes</w:t>
            </w:r>
          </w:p>
        </w:tc>
        <w:tc>
          <w:tcPr/>
          <w:p>
            <w:pPr>
              <w:pStyle w:val="Compact"/>
            </w:pPr>
            <w:r>
              <w:t xml:space="preserve">OUTCOME_CODE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Call Direction</w:t>
            </w:r>
          </w:p>
        </w:tc>
        <w:tc>
          <w:tcPr/>
          <w:p>
            <w:pPr>
              <w:pStyle w:val="Compact"/>
            </w:pPr>
            <w:r>
              <w:t xml:space="preserve">mwInquiryCodeJobs</w:t>
            </w:r>
          </w:p>
        </w:tc>
        <w:tc>
          <w:tcPr/>
          <w:p>
            <w:pPr>
              <w:pStyle w:val="Compact"/>
            </w:pPr>
            <w:r>
              <w:t xml:space="preserve">INQUIRY_CODE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Insurance</w:t>
            </w:r>
          </w:p>
        </w:tc>
        <w:tc>
          <w:tcPr/>
          <w:p>
            <w:pPr>
              <w:pStyle w:val="Compact"/>
            </w:pPr>
            <w:r>
              <w:t xml:space="preserve">pin.superMatch_Requests_Funds</w:t>
            </w:r>
          </w:p>
        </w:tc>
        <w:tc>
          <w:tcPr/>
          <w:p>
            <w:pPr>
              <w:pStyle w:val="Compact"/>
            </w:pPr>
            <w:r>
              <w:t xml:space="preserve">INSURANCE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Beneficiaries</w:t>
            </w:r>
          </w:p>
        </w:tc>
        <w:tc>
          <w:tcPr/>
          <w:p>
            <w:pPr>
              <w:pStyle w:val="Compact"/>
            </w:pPr>
            <w:r>
              <w:t xml:space="preserve">BENEFICIARY</w:t>
            </w:r>
          </w:p>
        </w:tc>
        <w:tc>
          <w:tcPr/>
          <w:p>
            <w:pPr>
              <w:pStyle w:val="Compact"/>
            </w:pPr>
            <w:r>
              <w:t xml:space="preserve">NOMINATION_TYPE_SHORT_DESC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Investment Switch</w:t>
            </w:r>
          </w:p>
        </w:tc>
        <w:tc>
          <w:tcPr/>
          <w:p>
            <w:pPr>
              <w:pStyle w:val="Compact"/>
            </w:pPr>
            <w:r>
              <w:t xml:space="preserve">Pending Validation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</w:tr>
    </w:tbl>
    <w:bookmarkEnd w:id="28"/>
    <w:bookmarkStart w:id="33" w:name="identified-gaps"/>
    <w:p>
      <w:pPr>
        <w:pStyle w:val="Heading1"/>
      </w:pPr>
      <w:r>
        <w:t xml:space="preserve">6. Identified Gaps</w:t>
      </w:r>
    </w:p>
    <w:bookmarkStart w:id="29" w:name="helpline-data"/>
    <w:p>
      <w:pPr>
        <w:pStyle w:val="Heading3"/>
      </w:pPr>
      <w:r>
        <w:t xml:space="preserve">Helpline Data</w:t>
      </w:r>
    </w:p>
    <w:p>
      <w:pPr>
        <w:pStyle w:val="FirstParagraph"/>
      </w:pPr>
      <w:r>
        <w:t xml:space="preserve">Clarification required on which wrap codes should be used for the retention project.</w:t>
      </w:r>
    </w:p>
    <w:bookmarkEnd w:id="29"/>
    <w:bookmarkStart w:id="30" w:name="call-direction"/>
    <w:p>
      <w:pPr>
        <w:pStyle w:val="Heading3"/>
      </w:pPr>
      <w:r>
        <w:t xml:space="preserve">Call Direction</w:t>
      </w:r>
    </w:p>
    <w:p>
      <w:pPr>
        <w:pStyle w:val="FirstParagraph"/>
      </w:pPr>
      <w:r>
        <w:t xml:space="preserve">Confirmation required on whether additional source tables exist outside MTrack schema.</w:t>
      </w:r>
    </w:p>
    <w:bookmarkEnd w:id="30"/>
    <w:bookmarkStart w:id="31" w:name="investment-switch"/>
    <w:p>
      <w:pPr>
        <w:pStyle w:val="Heading3"/>
      </w:pPr>
      <w:r>
        <w:t xml:space="preserve">Investment Switch</w:t>
      </w:r>
    </w:p>
    <w:p>
      <w:pPr>
        <w:pStyle w:val="FirstParagraph"/>
      </w:pPr>
      <w:r>
        <w:t xml:space="preserve">Source table and calculation logic not yet identified.</w:t>
      </w:r>
    </w:p>
    <w:bookmarkEnd w:id="31"/>
    <w:bookmarkStart w:id="32" w:name="account-transaction"/>
    <w:p>
      <w:pPr>
        <w:pStyle w:val="Heading3"/>
      </w:pPr>
      <w:r>
        <w:t xml:space="preserve">Account Transaction</w:t>
      </w:r>
    </w:p>
    <w:p>
      <w:pPr>
        <w:pStyle w:val="FirstParagraph"/>
      </w:pPr>
      <w:r>
        <w:t xml:space="preserve">Additional understanding required regarding formation of Account Transaction source data.</w:t>
      </w:r>
    </w:p>
    <w:bookmarkEnd w:id="32"/>
    <w:bookmarkEnd w:id="33"/>
    <w:bookmarkStart w:id="34" w:name="open-questions"/>
    <w:p>
      <w:pPr>
        <w:pStyle w:val="Heading1"/>
      </w:pPr>
      <w:r>
        <w:t xml:space="preserve">7. Open Questions</w:t>
      </w:r>
    </w:p>
    <w:p>
      <w:pPr>
        <w:pStyle w:val="Compact"/>
        <w:numPr>
          <w:ilvl w:val="0"/>
          <w:numId w:val="1003"/>
        </w:numPr>
      </w:pPr>
      <w:r>
        <w:t xml:space="preserve">Which Wrap Codes should be included?</w:t>
      </w:r>
    </w:p>
    <w:p>
      <w:pPr>
        <w:pStyle w:val="Compact"/>
        <w:numPr>
          <w:ilvl w:val="0"/>
          <w:numId w:val="1003"/>
        </w:numPr>
      </w:pPr>
      <w:r>
        <w:t xml:space="preserve">Are there additional call direction sources?</w:t>
      </w:r>
    </w:p>
    <w:p>
      <w:pPr>
        <w:pStyle w:val="Compact"/>
        <w:numPr>
          <w:ilvl w:val="0"/>
          <w:numId w:val="1003"/>
        </w:numPr>
      </w:pPr>
      <w:r>
        <w:t xml:space="preserve">How is Account Transaction data generated?</w:t>
      </w:r>
    </w:p>
    <w:p>
      <w:pPr>
        <w:pStyle w:val="Compact"/>
        <w:numPr>
          <w:ilvl w:val="0"/>
          <w:numId w:val="1003"/>
        </w:numPr>
      </w:pPr>
      <w:r>
        <w:t xml:space="preserve">Which source supports Investment Switch calculations?</w:t>
      </w:r>
    </w:p>
    <w:bookmarkEnd w:id="34"/>
    <w:bookmarkStart w:id="35" w:name="recommendations"/>
    <w:p>
      <w:pPr>
        <w:pStyle w:val="Heading1"/>
      </w:pPr>
      <w:r>
        <w:t xml:space="preserve">8. Recommendations</w:t>
      </w:r>
    </w:p>
    <w:p>
      <w:pPr>
        <w:pStyle w:val="Compact"/>
        <w:numPr>
          <w:ilvl w:val="0"/>
          <w:numId w:val="1004"/>
        </w:numPr>
      </w:pPr>
      <w:r>
        <w:t xml:space="preserve">Review staging mappings with Salesforce SMEs.</w:t>
      </w:r>
    </w:p>
    <w:p>
      <w:pPr>
        <w:pStyle w:val="Compact"/>
        <w:numPr>
          <w:ilvl w:val="0"/>
          <w:numId w:val="1004"/>
        </w:numPr>
      </w:pPr>
      <w:r>
        <w:t xml:space="preserve">Validate behavioural metric logic.</w:t>
      </w:r>
    </w:p>
    <w:p>
      <w:pPr>
        <w:pStyle w:val="Compact"/>
        <w:numPr>
          <w:ilvl w:val="0"/>
          <w:numId w:val="1004"/>
        </w:numPr>
      </w:pPr>
      <w:r>
        <w:t xml:space="preserve">Confirm source table ownership.</w:t>
      </w:r>
    </w:p>
    <w:p>
      <w:pPr>
        <w:pStyle w:val="Compact"/>
        <w:numPr>
          <w:ilvl w:val="0"/>
          <w:numId w:val="1004"/>
        </w:numPr>
      </w:pPr>
      <w:r>
        <w:t xml:space="preserve">Resolve outstanding questions before development.</w:t>
      </w:r>
    </w:p>
    <w:bookmarkEnd w:id="35"/>
    <w:bookmarkStart w:id="36" w:name="conclusion"/>
    <w:p>
      <w:pPr>
        <w:pStyle w:val="Heading1"/>
      </w:pPr>
      <w:r>
        <w:t xml:space="preserve">9. Conclusion</w:t>
      </w:r>
    </w:p>
    <w:p>
      <w:pPr>
        <w:pStyle w:val="FirstParagraph"/>
      </w:pPr>
      <w:r>
        <w:t xml:space="preserve">Most behavioural metric source tables have been identified within the Salesforce staging environment. Remaining gaps require clarification before final metric implementation.</w:t>
      </w:r>
    </w:p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2026-06-11T10:17:01Z</dcterms:created>
  <dcterms:modified xsi:type="dcterms:W3CDTF">2026-06-11T10:17:01Z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