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2554"/>
          <w:sz w:val="52"/>
        </w:rPr>
        <w:t>MEMBER RETENTION</w:t>
        <w:br/>
        <w:t>POWER BI DASHBOARDS</w:t>
      </w:r>
    </w:p>
    <w:p>
      <w:pPr>
        <w:jc w:val="center"/>
      </w:pPr>
      <w:r>
        <w:rPr>
          <w:color w:val="2563EB"/>
          <w:sz w:val="28"/>
        </w:rPr>
        <w:t>Confluence Dashboard Requirements &amp; Design Reference</w:t>
      </w:r>
    </w:p>
    <w:p>
      <w:pPr>
        <w:jc w:val="center"/>
      </w:pPr>
      <w:r>
        <w:rPr>
          <w:color w:val="6B7280"/>
          <w:sz w:val="18"/>
        </w:rPr>
        <w:t>Dashboard-focused document aligned to the supplied FRS and approved/working mock-ups</w:t>
      </w:r>
    </w:p>
    <w:p/>
    <w:tbl>
      <w:tblPr>
        <w:tblW w:type="auto" w:w="0"/>
        <w:tblLook w:firstColumn="1" w:firstRow="1" w:lastColumn="0" w:lastRow="0" w:noHBand="0" w:noVBand="1" w:val="04A0"/>
      </w:tblPr>
      <w:tblGrid>
        <w:gridCol w:w="10368"/>
      </w:tblGrid>
      <w:tr>
        <w:tc>
          <w:tcPr>
            <w:tcW w:type="dxa" w:w="10368"/>
            <w:shd w:fill="EEF4FF"/>
            <w:vAlign w:val="center"/>
          </w:tcPr>
          <w:p>
            <w:pPr>
              <w:spacing w:after="0"/>
            </w:pPr>
            <w:r/>
            <w:r>
              <w:rPr>
                <w:rFonts w:ascii="Aptos" w:hAnsi="Aptos"/>
                <w:b w:val="0"/>
                <w:color w:val="172554"/>
                <w:sz w:val="17"/>
              </w:rPr>
              <w:t>This document is intentionally dashboard-focused. The supplied FRS was used as a reference for terminology, measurement level, retention concepts and business classification context, but the detailed ML/FRS content is not reproduced here.</w:t>
            </w:r>
          </w:p>
        </w:tc>
      </w:tr>
    </w:tbl>
    <w:p/>
    <w:p>
      <w:pPr>
        <w:pStyle w:val="Heading1"/>
      </w:pPr>
      <w:r>
        <w:t>Table of Contents</w:t>
      </w:r>
    </w:p>
    <w:p>
      <w:pPr>
        <w:pStyle w:val="ListBullet"/>
        <w:spacing w:after="30"/>
        <w:ind w:left="288"/>
      </w:pPr>
      <w:r>
        <w:t>Executive Summary</w:t>
      </w:r>
    </w:p>
    <w:p>
      <w:pPr>
        <w:pStyle w:val="ListBullet"/>
        <w:spacing w:after="30"/>
        <w:ind w:left="288"/>
      </w:pPr>
      <w:r>
        <w:t>Document Overview</w:t>
      </w:r>
    </w:p>
    <w:p>
      <w:pPr>
        <w:pStyle w:val="ListBullet"/>
        <w:spacing w:after="30"/>
        <w:ind w:left="288"/>
      </w:pPr>
      <w:r>
        <w:t>Project Objectives</w:t>
      </w:r>
    </w:p>
    <w:p>
      <w:pPr>
        <w:pStyle w:val="ListBullet"/>
        <w:spacing w:after="30"/>
        <w:ind w:left="288"/>
      </w:pPr>
      <w:r>
        <w:t>Dashboard Requirements</w:t>
      </w:r>
    </w:p>
    <w:p>
      <w:pPr>
        <w:pStyle w:val="ListBullet"/>
        <w:spacing w:after="30"/>
        <w:ind w:left="288"/>
      </w:pPr>
      <w:r>
        <w:t>Data Sources &amp; Integration</w:t>
      </w:r>
    </w:p>
    <w:p>
      <w:pPr>
        <w:pStyle w:val="ListBullet"/>
        <w:spacing w:after="30"/>
        <w:ind w:left="288"/>
      </w:pPr>
      <w:r>
        <w:t>Functional Requirements</w:t>
      </w:r>
    </w:p>
    <w:p>
      <w:pPr>
        <w:pStyle w:val="ListBullet"/>
        <w:spacing w:after="30"/>
        <w:ind w:left="288"/>
      </w:pPr>
      <w:r>
        <w:t>Dashboard Specifications</w:t>
      </w:r>
    </w:p>
    <w:p>
      <w:pPr>
        <w:pStyle w:val="ListBullet"/>
        <w:spacing w:after="30"/>
        <w:ind w:left="288"/>
      </w:pPr>
      <w:r>
        <w:t>User Acceptance Criteria</w:t>
      </w:r>
    </w:p>
    <w:p>
      <w:pPr>
        <w:pStyle w:val="ListBullet"/>
        <w:spacing w:after="30"/>
        <w:ind w:left="288"/>
      </w:pPr>
      <w:r>
        <w:t>Security &amp; Compliance</w:t>
      </w:r>
    </w:p>
    <w:p>
      <w:pPr>
        <w:pStyle w:val="ListBullet"/>
        <w:spacing w:after="30"/>
        <w:ind w:left="288"/>
      </w:pPr>
      <w:r>
        <w:t>Deployment Plan</w:t>
      </w:r>
    </w:p>
    <w:p>
      <w:pPr>
        <w:pStyle w:val="ListBullet"/>
        <w:spacing w:after="30"/>
        <w:ind w:left="288"/>
      </w:pPr>
      <w:r>
        <w:t>Appendices</w:t>
      </w:r>
    </w:p>
    <w:p>
      <w:pPr>
        <w:pStyle w:val="Heading1"/>
      </w:pPr>
      <w:r>
        <w:t>1. Executive Summary</w:t>
      </w:r>
    </w:p>
    <w:p>
      <w:r>
        <w:t>The Member Retention Power BI reporting solution is intended to provide a consolidated view of retention performance, member activity, FUM movement, churn risk and key retention drivers. The solution combines executive-level dashboard reporting with member-level drill-through capability so users can move from KPI and trend analysis to detailed records.</w:t>
      </w:r>
    </w:p>
    <w:p>
      <w:r>
        <w:t>The supplied mock-ups show an executive Retention Analytics Dashboard, a Member Drill Through Report and a BD4 Retention Modelling Core Metrics view. A Member Behavioral Dashboard and Rollover Dashboard are also identified in the project scope and should be incorporated once their approved designs are available.</w:t>
      </w:r>
    </w:p>
    <w:tbl>
      <w:tblPr>
        <w:tblW w:type="auto" w:w="0"/>
        <w:tblLook w:firstColumn="1" w:firstRow="1" w:lastColumn="0" w:lastRow="0" w:noHBand="0" w:noVBand="1" w:val="04A0"/>
      </w:tblPr>
      <w:tblGrid>
        <w:gridCol w:w="10368"/>
      </w:tblGrid>
      <w:tr>
        <w:tc>
          <w:tcPr>
            <w:tcW w:type="dxa" w:w="10368"/>
            <w:shd w:fill="EEF4FF"/>
            <w:vAlign w:val="center"/>
          </w:tcPr>
          <w:p>
            <w:pPr>
              <w:spacing w:after="0"/>
            </w:pPr>
            <w:r/>
            <w:r>
              <w:rPr>
                <w:rFonts w:ascii="Aptos" w:hAnsi="Aptos"/>
                <w:b w:val="0"/>
                <w:color w:val="172554"/>
                <w:sz w:val="17"/>
              </w:rPr>
              <w:t>The formal FRS remains the source of truth for detailed business rules and formulas. This document focuses on what the Power BI reporting solution is expected to present and how the dashboard experience is structured.</w:t>
            </w:r>
          </w:p>
        </w:tc>
      </w:tr>
    </w:tbl>
    <w:p/>
    <w:p>
      <w:pPr>
        <w:pStyle w:val="Heading1"/>
      </w:pPr>
      <w:r>
        <w:t>2. Document Overview</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72554"/>
          </w:tcPr>
          <w:p>
            <w:pPr>
              <w:spacing w:after="0"/>
            </w:pPr>
            <w:r/>
            <w:r>
              <w:rPr>
                <w:rFonts w:ascii="Aptos" w:hAnsi="Aptos"/>
                <w:b/>
                <w:color w:val="FFFFFF"/>
                <w:sz w:val="17"/>
              </w:rPr>
              <w:t>Item</w:t>
            </w:r>
          </w:p>
        </w:tc>
        <w:tc>
          <w:tcPr>
            <w:tcW w:type="dxa" w:w="7200"/>
            <w:vAlign w:val="center"/>
            <w:shd w:fill="172554"/>
          </w:tcPr>
          <w:p>
            <w:pPr>
              <w:spacing w:after="0"/>
            </w:pPr>
            <w:r/>
            <w:r>
              <w:rPr>
                <w:rFonts w:ascii="Aptos" w:hAnsi="Aptos"/>
                <w:b/>
                <w:color w:val="FFFFFF"/>
                <w:sz w:val="17"/>
              </w:rPr>
              <w:t>Description</w:t>
            </w:r>
          </w:p>
        </w:tc>
      </w:tr>
      <w:tr>
        <w:tc>
          <w:tcPr>
            <w:tcW w:type="dxa" w:w="2448"/>
            <w:vAlign w:val="center"/>
          </w:tcPr>
          <w:p>
            <w:pPr>
              <w:spacing w:after="0"/>
            </w:pPr>
            <w:r/>
            <w:r>
              <w:rPr>
                <w:rFonts w:ascii="Aptos" w:hAnsi="Aptos"/>
                <w:b w:val="0"/>
                <w:color w:val="1F2937"/>
                <w:sz w:val="17"/>
              </w:rPr>
              <w:t>Document purpose</w:t>
            </w:r>
          </w:p>
        </w:tc>
        <w:tc>
          <w:tcPr>
            <w:tcW w:type="dxa" w:w="7200"/>
            <w:vAlign w:val="center"/>
          </w:tcPr>
          <w:p>
            <w:pPr>
              <w:spacing w:after="0"/>
            </w:pPr>
            <w:r/>
            <w:r>
              <w:rPr>
                <w:rFonts w:ascii="Aptos" w:hAnsi="Aptos"/>
                <w:b w:val="0"/>
                <w:color w:val="1F2937"/>
                <w:sz w:val="17"/>
              </w:rPr>
              <w:t>Define the dashboard/reporting requirements and design reference for the Member Retention Power BI solution.</w:t>
            </w:r>
          </w:p>
        </w:tc>
      </w:tr>
      <w:tr>
        <w:tc>
          <w:tcPr>
            <w:tcW w:type="dxa" w:w="2448"/>
            <w:vAlign w:val="center"/>
          </w:tcPr>
          <w:p>
            <w:pPr>
              <w:spacing w:after="0"/>
            </w:pPr>
            <w:r/>
            <w:r>
              <w:rPr>
                <w:rFonts w:ascii="Aptos" w:hAnsi="Aptos"/>
                <w:b w:val="0"/>
                <w:color w:val="1F2937"/>
                <w:sz w:val="17"/>
              </w:rPr>
              <w:t>Primary audience</w:t>
            </w:r>
          </w:p>
        </w:tc>
        <w:tc>
          <w:tcPr>
            <w:tcW w:type="dxa" w:w="7200"/>
            <w:vAlign w:val="center"/>
          </w:tcPr>
          <w:p>
            <w:pPr>
              <w:spacing w:after="0"/>
            </w:pPr>
            <w:r/>
            <w:r>
              <w:rPr>
                <w:rFonts w:ascii="Aptos" w:hAnsi="Aptos"/>
                <w:b w:val="0"/>
                <w:color w:val="1F2937"/>
                <w:sz w:val="17"/>
              </w:rPr>
              <w:t>Business stakeholders, product/retention teams, BI developers, testers and reporting users.</w:t>
            </w:r>
          </w:p>
        </w:tc>
      </w:tr>
      <w:tr>
        <w:tc>
          <w:tcPr>
            <w:tcW w:type="dxa" w:w="2448"/>
            <w:vAlign w:val="center"/>
          </w:tcPr>
          <w:p>
            <w:pPr>
              <w:spacing w:after="0"/>
            </w:pPr>
            <w:r/>
            <w:r>
              <w:rPr>
                <w:rFonts w:ascii="Aptos" w:hAnsi="Aptos"/>
                <w:b w:val="0"/>
                <w:color w:val="1F2937"/>
                <w:sz w:val="17"/>
              </w:rPr>
              <w:t>Primary platform</w:t>
            </w:r>
          </w:p>
        </w:tc>
        <w:tc>
          <w:tcPr>
            <w:tcW w:type="dxa" w:w="7200"/>
            <w:vAlign w:val="center"/>
          </w:tcPr>
          <w:p>
            <w:pPr>
              <w:spacing w:after="0"/>
            </w:pPr>
            <w:r/>
            <w:r>
              <w:rPr>
                <w:rFonts w:ascii="Aptos" w:hAnsi="Aptos"/>
                <w:b w:val="0"/>
                <w:color w:val="1F2937"/>
                <w:sz w:val="17"/>
              </w:rPr>
              <w:t>Microsoft Power BI.</w:t>
            </w:r>
          </w:p>
        </w:tc>
      </w:tr>
      <w:tr>
        <w:tc>
          <w:tcPr>
            <w:tcW w:type="dxa" w:w="2448"/>
            <w:vAlign w:val="center"/>
          </w:tcPr>
          <w:p>
            <w:pPr>
              <w:spacing w:after="0"/>
            </w:pPr>
            <w:r/>
            <w:r>
              <w:rPr>
                <w:rFonts w:ascii="Aptos" w:hAnsi="Aptos"/>
                <w:b w:val="0"/>
                <w:color w:val="1F2937"/>
                <w:sz w:val="17"/>
              </w:rPr>
              <w:t>Reporting approach</w:t>
            </w:r>
          </w:p>
        </w:tc>
        <w:tc>
          <w:tcPr>
            <w:tcW w:type="dxa" w:w="7200"/>
            <w:vAlign w:val="center"/>
          </w:tcPr>
          <w:p>
            <w:pPr>
              <w:spacing w:after="0"/>
            </w:pPr>
            <w:r/>
            <w:r>
              <w:rPr>
                <w:rFonts w:ascii="Aptos" w:hAnsi="Aptos"/>
                <w:b w:val="0"/>
                <w:color w:val="1F2937"/>
                <w:sz w:val="17"/>
              </w:rPr>
              <w:t>Executive dashboard + analytical visuals + member-level drill-through.</w:t>
            </w:r>
          </w:p>
        </w:tc>
      </w:tr>
      <w:tr>
        <w:tc>
          <w:tcPr>
            <w:tcW w:type="dxa" w:w="2448"/>
            <w:vAlign w:val="center"/>
          </w:tcPr>
          <w:p>
            <w:pPr>
              <w:spacing w:after="0"/>
            </w:pPr>
            <w:r/>
            <w:r>
              <w:rPr>
                <w:rFonts w:ascii="Aptos" w:hAnsi="Aptos"/>
                <w:b w:val="0"/>
                <w:color w:val="1F2937"/>
                <w:sz w:val="17"/>
              </w:rPr>
              <w:t>Business reference</w:t>
            </w:r>
          </w:p>
        </w:tc>
        <w:tc>
          <w:tcPr>
            <w:tcW w:type="dxa" w:w="7200"/>
            <w:vAlign w:val="center"/>
          </w:tcPr>
          <w:p>
            <w:pPr>
              <w:spacing w:after="0"/>
            </w:pPr>
            <w:r/>
            <w:r>
              <w:rPr>
                <w:rFonts w:ascii="Aptos" w:hAnsi="Aptos"/>
                <w:b w:val="0"/>
                <w:color w:val="1F2937"/>
                <w:sz w:val="17"/>
              </w:rPr>
              <w:t>Approved/working FRS, BRS/Key Metrics definitions and dashboard mock-ups.</w:t>
            </w:r>
          </w:p>
        </w:tc>
      </w:tr>
      <w:tr>
        <w:tc>
          <w:tcPr>
            <w:tcW w:type="dxa" w:w="2448"/>
            <w:vAlign w:val="center"/>
          </w:tcPr>
          <w:p>
            <w:pPr>
              <w:spacing w:after="0"/>
            </w:pPr>
            <w:r/>
            <w:r>
              <w:rPr>
                <w:rFonts w:ascii="Aptos" w:hAnsi="Aptos"/>
                <w:b w:val="0"/>
                <w:color w:val="1F2937"/>
                <w:sz w:val="17"/>
              </w:rPr>
              <w:t>Status</w:t>
            </w:r>
          </w:p>
        </w:tc>
        <w:tc>
          <w:tcPr>
            <w:tcW w:type="dxa" w:w="7200"/>
            <w:vAlign w:val="center"/>
          </w:tcPr>
          <w:p>
            <w:pPr>
              <w:spacing w:after="0"/>
            </w:pPr>
            <w:r/>
            <w:r>
              <w:rPr>
                <w:rFonts w:ascii="Aptos" w:hAnsi="Aptos"/>
                <w:b w:val="0"/>
                <w:color w:val="1F2937"/>
                <w:sz w:val="17"/>
              </w:rPr>
              <w:t>Draft – design and requirements reference for Confluence.</w:t>
            </w:r>
          </w:p>
        </w:tc>
      </w:tr>
    </w:tbl>
    <w:p>
      <w:pPr>
        <w:spacing w:after="20"/>
      </w:pPr>
    </w:p>
    <w:p>
      <w:pPr>
        <w:pStyle w:val="Heading1"/>
      </w:pPr>
      <w:r>
        <w:t>3. Project Objectives</w:t>
      </w:r>
    </w:p>
    <w:p>
      <w:pPr>
        <w:pStyle w:val="ListBullet"/>
        <w:spacing w:after="30"/>
        <w:ind w:left="288"/>
      </w:pPr>
      <w:r>
        <w:t>Provide a single executive view of member retention performance and related business indicators.</w:t>
      </w:r>
    </w:p>
    <w:p>
      <w:pPr>
        <w:pStyle w:val="ListBullet"/>
        <w:spacing w:after="30"/>
        <w:ind w:left="288"/>
      </w:pPr>
      <w:r>
        <w:t>Show Member Retention Rate and FUM Retention Rate trends over the required reporting period.</w:t>
      </w:r>
    </w:p>
    <w:p>
      <w:pPr>
        <w:pStyle w:val="ListBullet"/>
        <w:spacing w:after="30"/>
        <w:ind w:left="288"/>
      </w:pPr>
      <w:r>
        <w:t>Provide visibility of active members, exits, member movements, FUM inflow/outflow and net cashflow.</w:t>
      </w:r>
    </w:p>
    <w:p>
      <w:pPr>
        <w:pStyle w:val="ListBullet"/>
        <w:spacing w:after="30"/>
        <w:ind w:left="288"/>
      </w:pPr>
      <w:r>
        <w:t>Identify members at risk and present the distribution of High, Medium and Low churn risk.</w:t>
      </w:r>
    </w:p>
    <w:p>
      <w:pPr>
        <w:pStyle w:val="ListBullet"/>
        <w:spacing w:after="30"/>
        <w:ind w:left="288"/>
      </w:pPr>
      <w:r>
        <w:t>Highlight the leading drivers associated with high-risk members.</w:t>
      </w:r>
    </w:p>
    <w:p>
      <w:pPr>
        <w:pStyle w:val="ListBullet"/>
        <w:spacing w:after="30"/>
        <w:ind w:left="288"/>
      </w:pPr>
      <w:r>
        <w:t>Enable users to move from aggregate dashboard analysis to member-level detail.</w:t>
      </w:r>
    </w:p>
    <w:p>
      <w:pPr>
        <w:pStyle w:val="ListBullet"/>
        <w:spacing w:after="30"/>
        <w:ind w:left="288"/>
      </w:pPr>
      <w:r>
        <w:t>Provide a dedicated BD4 view for core retention modelling metrics.</w:t>
      </w:r>
    </w:p>
    <w:p>
      <w:pPr>
        <w:pStyle w:val="ListBullet"/>
        <w:spacing w:after="30"/>
        <w:ind w:left="288"/>
      </w:pPr>
      <w:r>
        <w:t>Maintain consistent filtering, terminology, navigation and visual design across the reporting solution.</w:t>
      </w:r>
    </w:p>
    <w:p>
      <w:pPr>
        <w:pStyle w:val="Heading1"/>
      </w:pPr>
      <w:r>
        <w:t>4. Dashboard Requirements</w:t>
      </w:r>
    </w:p>
    <w:p>
      <w:pPr>
        <w:pStyle w:val="Heading2"/>
      </w:pPr>
      <w:r>
        <w:t>4.1 Dashboard Scope</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center"/>
            <w:shd w:fill="172554"/>
          </w:tcPr>
          <w:p>
            <w:pPr>
              <w:spacing w:after="0"/>
            </w:pPr>
            <w:r/>
            <w:r>
              <w:rPr>
                <w:rFonts w:ascii="Aptos" w:hAnsi="Aptos"/>
                <w:b/>
                <w:color w:val="FFFFFF"/>
                <w:sz w:val="17"/>
              </w:rPr>
              <w:t>Dashboard / Report</w:t>
            </w:r>
          </w:p>
        </w:tc>
        <w:tc>
          <w:tcPr>
            <w:tcW w:type="dxa" w:w="5472"/>
            <w:vAlign w:val="center"/>
            <w:shd w:fill="172554"/>
          </w:tcPr>
          <w:p>
            <w:pPr>
              <w:spacing w:after="0"/>
            </w:pPr>
            <w:r/>
            <w:r>
              <w:rPr>
                <w:rFonts w:ascii="Aptos" w:hAnsi="Aptos"/>
                <w:b/>
                <w:color w:val="FFFFFF"/>
                <w:sz w:val="17"/>
              </w:rPr>
              <w:t>Requirement / Intended Use</w:t>
            </w:r>
          </w:p>
        </w:tc>
        <w:tc>
          <w:tcPr>
            <w:tcW w:type="dxa" w:w="1296"/>
            <w:vAlign w:val="center"/>
            <w:shd w:fill="172554"/>
          </w:tcPr>
          <w:p>
            <w:pPr>
              <w:spacing w:after="0"/>
            </w:pPr>
            <w:r/>
            <w:r>
              <w:rPr>
                <w:rFonts w:ascii="Aptos" w:hAnsi="Aptos"/>
                <w:b/>
                <w:color w:val="FFFFFF"/>
                <w:sz w:val="17"/>
              </w:rPr>
              <w:t>Status</w:t>
            </w:r>
          </w:p>
        </w:tc>
      </w:tr>
      <w:tr>
        <w:tc>
          <w:tcPr>
            <w:tcW w:type="dxa" w:w="3024"/>
            <w:vAlign w:val="center"/>
          </w:tcPr>
          <w:p>
            <w:pPr>
              <w:spacing w:after="0"/>
            </w:pPr>
            <w:r/>
            <w:r>
              <w:rPr>
                <w:rFonts w:ascii="Aptos" w:hAnsi="Aptos"/>
                <w:b w:val="0"/>
                <w:color w:val="1F2937"/>
                <w:sz w:val="17"/>
              </w:rPr>
              <w:t>Retention Analytics Dashboard</w:t>
            </w:r>
          </w:p>
        </w:tc>
        <w:tc>
          <w:tcPr>
            <w:tcW w:type="dxa" w:w="5472"/>
            <w:vAlign w:val="center"/>
          </w:tcPr>
          <w:p>
            <w:pPr>
              <w:spacing w:after="0"/>
            </w:pPr>
            <w:r/>
            <w:r>
              <w:rPr>
                <w:rFonts w:ascii="Aptos" w:hAnsi="Aptos"/>
                <w:b w:val="0"/>
                <w:color w:val="1F2937"/>
                <w:sz w:val="17"/>
              </w:rPr>
              <w:t>Executive summary of retention, activity, risk and financial movement.</w:t>
            </w:r>
          </w:p>
        </w:tc>
        <w:tc>
          <w:tcPr>
            <w:tcW w:type="dxa" w:w="1296"/>
            <w:vAlign w:val="center"/>
          </w:tcPr>
          <w:p>
            <w:pPr>
              <w:spacing w:after="0"/>
            </w:pPr>
            <w:r/>
            <w:r>
              <w:rPr>
                <w:rFonts w:ascii="Aptos" w:hAnsi="Aptos"/>
                <w:b w:val="0"/>
                <w:color w:val="1F2937"/>
                <w:sz w:val="17"/>
              </w:rPr>
              <w:t>Mock-up available</w:t>
            </w:r>
          </w:p>
        </w:tc>
      </w:tr>
      <w:tr>
        <w:tc>
          <w:tcPr>
            <w:tcW w:type="dxa" w:w="3024"/>
            <w:vAlign w:val="center"/>
          </w:tcPr>
          <w:p>
            <w:pPr>
              <w:spacing w:after="0"/>
            </w:pPr>
            <w:r/>
            <w:r>
              <w:rPr>
                <w:rFonts w:ascii="Aptos" w:hAnsi="Aptos"/>
                <w:b w:val="0"/>
                <w:color w:val="1F2937"/>
                <w:sz w:val="17"/>
              </w:rPr>
              <w:t>Member Drill Through Report</w:t>
            </w:r>
          </w:p>
        </w:tc>
        <w:tc>
          <w:tcPr>
            <w:tcW w:type="dxa" w:w="5472"/>
            <w:vAlign w:val="center"/>
          </w:tcPr>
          <w:p>
            <w:pPr>
              <w:spacing w:after="0"/>
            </w:pPr>
            <w:r/>
            <w:r>
              <w:rPr>
                <w:rFonts w:ascii="Aptos" w:hAnsi="Aptos"/>
                <w:b w:val="0"/>
                <w:color w:val="1F2937"/>
                <w:sz w:val="17"/>
              </w:rPr>
              <w:t>Detailed member-level records supporting dashboard drill-through.</w:t>
            </w:r>
          </w:p>
        </w:tc>
        <w:tc>
          <w:tcPr>
            <w:tcW w:type="dxa" w:w="1296"/>
            <w:vAlign w:val="center"/>
          </w:tcPr>
          <w:p>
            <w:pPr>
              <w:spacing w:after="0"/>
            </w:pPr>
            <w:r/>
            <w:r>
              <w:rPr>
                <w:rFonts w:ascii="Aptos" w:hAnsi="Aptos"/>
                <w:b w:val="0"/>
                <w:color w:val="1F2937"/>
                <w:sz w:val="17"/>
              </w:rPr>
              <w:t>Mock-up available</w:t>
            </w:r>
          </w:p>
        </w:tc>
      </w:tr>
      <w:tr>
        <w:tc>
          <w:tcPr>
            <w:tcW w:type="dxa" w:w="3024"/>
            <w:vAlign w:val="center"/>
          </w:tcPr>
          <w:p>
            <w:pPr>
              <w:spacing w:after="0"/>
            </w:pPr>
            <w:r/>
            <w:r>
              <w:rPr>
                <w:rFonts w:ascii="Aptos" w:hAnsi="Aptos"/>
                <w:b w:val="0"/>
                <w:color w:val="1F2937"/>
                <w:sz w:val="17"/>
              </w:rPr>
              <w:t>Member Behavioral Dashboard</w:t>
            </w:r>
          </w:p>
        </w:tc>
        <w:tc>
          <w:tcPr>
            <w:tcW w:type="dxa" w:w="5472"/>
            <w:vAlign w:val="center"/>
          </w:tcPr>
          <w:p>
            <w:pPr>
              <w:spacing w:after="0"/>
            </w:pPr>
            <w:r/>
            <w:r>
              <w:rPr>
                <w:rFonts w:ascii="Aptos" w:hAnsi="Aptos"/>
                <w:b w:val="0"/>
                <w:color w:val="1F2937"/>
                <w:sz w:val="17"/>
              </w:rPr>
              <w:t>Analyse behavioural indicators and their relationship to retention/churn.</w:t>
            </w:r>
          </w:p>
        </w:tc>
        <w:tc>
          <w:tcPr>
            <w:tcW w:type="dxa" w:w="1296"/>
            <w:vAlign w:val="center"/>
          </w:tcPr>
          <w:p>
            <w:pPr>
              <w:spacing w:after="0"/>
            </w:pPr>
            <w:r/>
            <w:r>
              <w:rPr>
                <w:rFonts w:ascii="Aptos" w:hAnsi="Aptos"/>
                <w:b w:val="0"/>
                <w:color w:val="1F2937"/>
                <w:sz w:val="17"/>
              </w:rPr>
              <w:t>Scope identified</w:t>
            </w:r>
          </w:p>
        </w:tc>
      </w:tr>
      <w:tr>
        <w:tc>
          <w:tcPr>
            <w:tcW w:type="dxa" w:w="3024"/>
            <w:vAlign w:val="center"/>
          </w:tcPr>
          <w:p>
            <w:pPr>
              <w:spacing w:after="0"/>
            </w:pPr>
            <w:r/>
            <w:r>
              <w:rPr>
                <w:rFonts w:ascii="Aptos" w:hAnsi="Aptos"/>
                <w:b w:val="0"/>
                <w:color w:val="1F2937"/>
                <w:sz w:val="17"/>
              </w:rPr>
              <w:t>BD4 Dashboard</w:t>
            </w:r>
          </w:p>
        </w:tc>
        <w:tc>
          <w:tcPr>
            <w:tcW w:type="dxa" w:w="5472"/>
            <w:vAlign w:val="center"/>
          </w:tcPr>
          <w:p>
            <w:pPr>
              <w:spacing w:after="0"/>
            </w:pPr>
            <w:r/>
            <w:r>
              <w:rPr>
                <w:rFonts w:ascii="Aptos" w:hAnsi="Aptos"/>
                <w:b w:val="0"/>
                <w:color w:val="1F2937"/>
                <w:sz w:val="17"/>
              </w:rPr>
              <w:t>Present retention modelling core metrics and trends.</w:t>
            </w:r>
          </w:p>
        </w:tc>
        <w:tc>
          <w:tcPr>
            <w:tcW w:type="dxa" w:w="1296"/>
            <w:vAlign w:val="center"/>
          </w:tcPr>
          <w:p>
            <w:pPr>
              <w:spacing w:after="0"/>
            </w:pPr>
            <w:r/>
            <w:r>
              <w:rPr>
                <w:rFonts w:ascii="Aptos" w:hAnsi="Aptos"/>
                <w:b w:val="0"/>
                <w:color w:val="1F2937"/>
                <w:sz w:val="17"/>
              </w:rPr>
              <w:t>Mock-up available</w:t>
            </w:r>
          </w:p>
        </w:tc>
      </w:tr>
      <w:tr>
        <w:tc>
          <w:tcPr>
            <w:tcW w:type="dxa" w:w="3024"/>
            <w:vAlign w:val="center"/>
          </w:tcPr>
          <w:p>
            <w:pPr>
              <w:spacing w:after="0"/>
            </w:pPr>
            <w:r/>
            <w:r>
              <w:rPr>
                <w:rFonts w:ascii="Aptos" w:hAnsi="Aptos"/>
                <w:b w:val="0"/>
                <w:color w:val="1F2937"/>
                <w:sz w:val="17"/>
              </w:rPr>
              <w:t>Rollover Dashboard</w:t>
            </w:r>
          </w:p>
        </w:tc>
        <w:tc>
          <w:tcPr>
            <w:tcW w:type="dxa" w:w="5472"/>
            <w:vAlign w:val="center"/>
          </w:tcPr>
          <w:p>
            <w:pPr>
              <w:spacing w:after="0"/>
            </w:pPr>
            <w:r/>
            <w:r>
              <w:rPr>
                <w:rFonts w:ascii="Aptos" w:hAnsi="Aptos"/>
                <w:b w:val="0"/>
                <w:color w:val="1F2937"/>
                <w:sz w:val="17"/>
              </w:rPr>
              <w:t>Provide rollover-focused analysis and reporting.</w:t>
            </w:r>
          </w:p>
        </w:tc>
        <w:tc>
          <w:tcPr>
            <w:tcW w:type="dxa" w:w="1296"/>
            <w:vAlign w:val="center"/>
          </w:tcPr>
          <w:p>
            <w:pPr>
              <w:spacing w:after="0"/>
            </w:pPr>
            <w:r/>
            <w:r>
              <w:rPr>
                <w:rFonts w:ascii="Aptos" w:hAnsi="Aptos"/>
                <w:b w:val="0"/>
                <w:color w:val="1F2937"/>
                <w:sz w:val="17"/>
              </w:rPr>
              <w:t>Scope identified</w:t>
            </w:r>
          </w:p>
        </w:tc>
      </w:tr>
    </w:tbl>
    <w:p>
      <w:pPr>
        <w:spacing w:after="20"/>
      </w:pPr>
    </w:p>
    <w:p>
      <w:pPr>
        <w:pStyle w:val="Heading2"/>
      </w:pPr>
      <w:r>
        <w:t>4.2 Retention Analytics – Required Business View</w:t>
      </w:r>
    </w:p>
    <w:p>
      <w:pPr>
        <w:pStyle w:val="ListBullet"/>
        <w:spacing w:after="30"/>
        <w:ind w:left="288"/>
      </w:pPr>
      <w:r>
        <w:t>Executive KPI cards for retention, activity, rollover, inactivity and Voice of Customer indicators.</w:t>
      </w:r>
    </w:p>
    <w:p>
      <w:pPr>
        <w:pStyle w:val="ListBullet"/>
        <w:spacing w:after="30"/>
        <w:ind w:left="288"/>
      </w:pPr>
      <w:r>
        <w:t>Monthly retention trend comparison for Member and FUM retention.</w:t>
      </w:r>
    </w:p>
    <w:p>
      <w:pPr>
        <w:pStyle w:val="ListBullet"/>
        <w:spacing w:after="30"/>
        <w:ind w:left="288"/>
      </w:pPr>
      <w:r>
        <w:t>Monthly member movement view covering new members, exited members and net movement.</w:t>
      </w:r>
    </w:p>
    <w:p>
      <w:pPr>
        <w:pStyle w:val="ListBullet"/>
        <w:spacing w:after="30"/>
        <w:ind w:left="288"/>
      </w:pPr>
      <w:r>
        <w:t>Churn risk distribution across High, Medium and Low risk.</w:t>
      </w:r>
    </w:p>
    <w:p>
      <w:pPr>
        <w:pStyle w:val="ListBullet"/>
        <w:spacing w:after="30"/>
        <w:ind w:left="288"/>
      </w:pPr>
      <w:r>
        <w:t>FUM inflow versus outflow and net movement.</w:t>
      </w:r>
    </w:p>
    <w:p>
      <w:pPr>
        <w:pStyle w:val="ListBullet"/>
        <w:spacing w:after="30"/>
        <w:ind w:left="288"/>
      </w:pPr>
      <w:r>
        <w:t>Net cashflow trend by displayed cashflow categories.</w:t>
      </w:r>
    </w:p>
    <w:p>
      <w:pPr>
        <w:pStyle w:val="ListBullet"/>
        <w:spacing w:after="30"/>
        <w:ind w:left="288"/>
      </w:pPr>
      <w:r>
        <w:t>Top drivers of churn for high-risk members.</w:t>
      </w:r>
    </w:p>
    <w:p>
      <w:pPr>
        <w:pStyle w:val="ListBullet"/>
        <w:spacing w:after="30"/>
        <w:ind w:left="288"/>
      </w:pPr>
      <w:r>
        <w:t>Members-at-risk count and percentage of total members.</w:t>
      </w:r>
    </w:p>
    <w:p>
      <w:pPr>
        <w:pStyle w:val="ListBullet"/>
        <w:spacing w:after="30"/>
        <w:ind w:left="288"/>
      </w:pPr>
      <w:r>
        <w:t>Filter-driven analysis across the dashboard.</w:t>
      </w:r>
    </w:p>
    <w:p>
      <w:pPr>
        <w:pStyle w:val="Heading2"/>
      </w:pPr>
      <w:r>
        <w:t>4.3 Dashboard Filters</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72554"/>
          </w:tcPr>
          <w:p>
            <w:pPr>
              <w:spacing w:after="0"/>
            </w:pPr>
            <w:r/>
            <w:r>
              <w:rPr>
                <w:rFonts w:ascii="Aptos" w:hAnsi="Aptos"/>
                <w:b/>
                <w:color w:val="FFFFFF"/>
                <w:sz w:val="17"/>
              </w:rPr>
              <w:t>Filter</w:t>
            </w:r>
          </w:p>
        </w:tc>
        <w:tc>
          <w:tcPr>
            <w:tcW w:type="dxa" w:w="7488"/>
            <w:vAlign w:val="center"/>
            <w:shd w:fill="172554"/>
          </w:tcPr>
          <w:p>
            <w:pPr>
              <w:spacing w:after="0"/>
            </w:pPr>
            <w:r/>
            <w:r>
              <w:rPr>
                <w:rFonts w:ascii="Aptos" w:hAnsi="Aptos"/>
                <w:b/>
                <w:color w:val="FFFFFF"/>
                <w:sz w:val="17"/>
              </w:rPr>
              <w:t>Mock-up behaviour / values</w:t>
            </w:r>
          </w:p>
        </w:tc>
      </w:tr>
      <w:tr>
        <w:tc>
          <w:tcPr>
            <w:tcW w:type="dxa" w:w="2448"/>
            <w:vAlign w:val="center"/>
          </w:tcPr>
          <w:p>
            <w:pPr>
              <w:spacing w:after="0"/>
            </w:pPr>
            <w:r/>
            <w:r>
              <w:rPr>
                <w:rFonts w:ascii="Aptos" w:hAnsi="Aptos"/>
                <w:b w:val="0"/>
                <w:color w:val="1F2937"/>
                <w:sz w:val="17"/>
              </w:rPr>
              <w:t>Date</w:t>
            </w:r>
          </w:p>
        </w:tc>
        <w:tc>
          <w:tcPr>
            <w:tcW w:type="dxa" w:w="7488"/>
            <w:vAlign w:val="center"/>
          </w:tcPr>
          <w:p>
            <w:pPr>
              <w:spacing w:after="0"/>
            </w:pPr>
            <w:r/>
            <w:r>
              <w:rPr>
                <w:rFonts w:ascii="Aptos" w:hAnsi="Aptos"/>
                <w:b w:val="0"/>
                <w:color w:val="1F2937"/>
                <w:sz w:val="17"/>
              </w:rPr>
              <w:t>Last 12 Months</w:t>
            </w:r>
          </w:p>
        </w:tc>
      </w:tr>
      <w:tr>
        <w:tc>
          <w:tcPr>
            <w:tcW w:type="dxa" w:w="2448"/>
            <w:vAlign w:val="center"/>
          </w:tcPr>
          <w:p>
            <w:pPr>
              <w:spacing w:after="0"/>
            </w:pPr>
            <w:r/>
            <w:r>
              <w:rPr>
                <w:rFonts w:ascii="Aptos" w:hAnsi="Aptos"/>
                <w:b w:val="0"/>
                <w:color w:val="1F2937"/>
                <w:sz w:val="17"/>
              </w:rPr>
              <w:t>Gender</w:t>
            </w:r>
          </w:p>
        </w:tc>
        <w:tc>
          <w:tcPr>
            <w:tcW w:type="dxa" w:w="7488"/>
            <w:vAlign w:val="center"/>
          </w:tcPr>
          <w:p>
            <w:pPr>
              <w:spacing w:after="0"/>
            </w:pPr>
            <w:r/>
            <w:r>
              <w:rPr>
                <w:rFonts w:ascii="Aptos" w:hAnsi="Aptos"/>
                <w:b w:val="0"/>
                <w:color w:val="1F2937"/>
                <w:sz w:val="17"/>
              </w:rPr>
              <w:t>All</w:t>
            </w:r>
          </w:p>
        </w:tc>
      </w:tr>
      <w:tr>
        <w:tc>
          <w:tcPr>
            <w:tcW w:type="dxa" w:w="2448"/>
            <w:vAlign w:val="center"/>
          </w:tcPr>
          <w:p>
            <w:pPr>
              <w:spacing w:after="0"/>
            </w:pPr>
            <w:r/>
            <w:r>
              <w:rPr>
                <w:rFonts w:ascii="Aptos" w:hAnsi="Aptos"/>
                <w:b w:val="0"/>
                <w:color w:val="1F2937"/>
                <w:sz w:val="17"/>
              </w:rPr>
              <w:t>Age Group</w:t>
            </w:r>
          </w:p>
        </w:tc>
        <w:tc>
          <w:tcPr>
            <w:tcW w:type="dxa" w:w="7488"/>
            <w:vAlign w:val="center"/>
          </w:tcPr>
          <w:p>
            <w:pPr>
              <w:spacing w:after="0"/>
            </w:pPr>
            <w:r/>
            <w:r>
              <w:rPr>
                <w:rFonts w:ascii="Aptos" w:hAnsi="Aptos"/>
                <w:b w:val="0"/>
                <w:color w:val="1F2937"/>
                <w:sz w:val="17"/>
              </w:rPr>
              <w:t>All</w:t>
            </w:r>
          </w:p>
        </w:tc>
      </w:tr>
      <w:tr>
        <w:tc>
          <w:tcPr>
            <w:tcW w:type="dxa" w:w="2448"/>
            <w:vAlign w:val="center"/>
          </w:tcPr>
          <w:p>
            <w:pPr>
              <w:spacing w:after="0"/>
            </w:pPr>
            <w:r/>
            <w:r>
              <w:rPr>
                <w:rFonts w:ascii="Aptos" w:hAnsi="Aptos"/>
                <w:b w:val="0"/>
                <w:color w:val="1F2937"/>
                <w:sz w:val="17"/>
              </w:rPr>
              <w:t>Tenure Band</w:t>
            </w:r>
          </w:p>
        </w:tc>
        <w:tc>
          <w:tcPr>
            <w:tcW w:type="dxa" w:w="7488"/>
            <w:vAlign w:val="center"/>
          </w:tcPr>
          <w:p>
            <w:pPr>
              <w:spacing w:after="0"/>
            </w:pPr>
            <w:r/>
            <w:r>
              <w:rPr>
                <w:rFonts w:ascii="Aptos" w:hAnsi="Aptos"/>
                <w:b w:val="0"/>
                <w:color w:val="1F2937"/>
                <w:sz w:val="17"/>
              </w:rPr>
              <w:t>All</w:t>
            </w:r>
          </w:p>
        </w:tc>
      </w:tr>
      <w:tr>
        <w:tc>
          <w:tcPr>
            <w:tcW w:type="dxa" w:w="2448"/>
            <w:vAlign w:val="center"/>
          </w:tcPr>
          <w:p>
            <w:pPr>
              <w:spacing w:after="0"/>
            </w:pPr>
            <w:r/>
            <w:r>
              <w:rPr>
                <w:rFonts w:ascii="Aptos" w:hAnsi="Aptos"/>
                <w:b w:val="0"/>
                <w:color w:val="1F2937"/>
                <w:sz w:val="17"/>
              </w:rPr>
              <w:t>Life Stage</w:t>
            </w:r>
          </w:p>
        </w:tc>
        <w:tc>
          <w:tcPr>
            <w:tcW w:type="dxa" w:w="7488"/>
            <w:vAlign w:val="center"/>
          </w:tcPr>
          <w:p>
            <w:pPr>
              <w:spacing w:after="0"/>
            </w:pPr>
            <w:r/>
            <w:r>
              <w:rPr>
                <w:rFonts w:ascii="Aptos" w:hAnsi="Aptos"/>
                <w:b w:val="0"/>
                <w:color w:val="1F2937"/>
                <w:sz w:val="17"/>
              </w:rPr>
              <w:t>All</w:t>
            </w:r>
          </w:p>
        </w:tc>
      </w:tr>
      <w:tr>
        <w:tc>
          <w:tcPr>
            <w:tcW w:type="dxa" w:w="2448"/>
            <w:vAlign w:val="center"/>
          </w:tcPr>
          <w:p>
            <w:pPr>
              <w:spacing w:after="0"/>
            </w:pPr>
            <w:r/>
            <w:r>
              <w:rPr>
                <w:rFonts w:ascii="Aptos" w:hAnsi="Aptos"/>
                <w:b w:val="0"/>
                <w:color w:val="1F2937"/>
                <w:sz w:val="17"/>
              </w:rPr>
              <w:t>Channel</w:t>
            </w:r>
          </w:p>
        </w:tc>
        <w:tc>
          <w:tcPr>
            <w:tcW w:type="dxa" w:w="7488"/>
            <w:vAlign w:val="center"/>
          </w:tcPr>
          <w:p>
            <w:pPr>
              <w:spacing w:after="0"/>
            </w:pPr>
            <w:r/>
            <w:r>
              <w:rPr>
                <w:rFonts w:ascii="Aptos" w:hAnsi="Aptos"/>
                <w:b w:val="0"/>
                <w:color w:val="1F2937"/>
                <w:sz w:val="17"/>
              </w:rPr>
              <w:t>All</w:t>
            </w:r>
          </w:p>
        </w:tc>
      </w:tr>
      <w:tr>
        <w:tc>
          <w:tcPr>
            <w:tcW w:type="dxa" w:w="2448"/>
            <w:vAlign w:val="center"/>
          </w:tcPr>
          <w:p>
            <w:pPr>
              <w:spacing w:after="0"/>
            </w:pPr>
            <w:r/>
            <w:r>
              <w:rPr>
                <w:rFonts w:ascii="Aptos" w:hAnsi="Aptos"/>
                <w:b w:val="0"/>
                <w:color w:val="1F2937"/>
                <w:sz w:val="17"/>
              </w:rPr>
              <w:t>Region</w:t>
            </w:r>
          </w:p>
        </w:tc>
        <w:tc>
          <w:tcPr>
            <w:tcW w:type="dxa" w:w="7488"/>
            <w:vAlign w:val="center"/>
          </w:tcPr>
          <w:p>
            <w:pPr>
              <w:spacing w:after="0"/>
            </w:pPr>
            <w:r/>
            <w:r>
              <w:rPr>
                <w:rFonts w:ascii="Aptos" w:hAnsi="Aptos"/>
                <w:b w:val="0"/>
                <w:color w:val="1F2937"/>
                <w:sz w:val="17"/>
              </w:rPr>
              <w:t>All</w:t>
            </w:r>
          </w:p>
        </w:tc>
      </w:tr>
      <w:tr>
        <w:tc>
          <w:tcPr>
            <w:tcW w:type="dxa" w:w="2448"/>
            <w:vAlign w:val="center"/>
          </w:tcPr>
          <w:p>
            <w:pPr>
              <w:spacing w:after="0"/>
            </w:pPr>
            <w:r/>
            <w:r>
              <w:rPr>
                <w:rFonts w:ascii="Aptos" w:hAnsi="Aptos"/>
                <w:b w:val="0"/>
                <w:color w:val="1F2937"/>
                <w:sz w:val="17"/>
              </w:rPr>
              <w:t>Account Type</w:t>
            </w:r>
          </w:p>
        </w:tc>
        <w:tc>
          <w:tcPr>
            <w:tcW w:type="dxa" w:w="7488"/>
            <w:vAlign w:val="center"/>
          </w:tcPr>
          <w:p>
            <w:pPr>
              <w:spacing w:after="0"/>
            </w:pPr>
            <w:r/>
            <w:r>
              <w:rPr>
                <w:rFonts w:ascii="Aptos" w:hAnsi="Aptos"/>
                <w:b w:val="0"/>
                <w:color w:val="1F2937"/>
                <w:sz w:val="17"/>
              </w:rPr>
              <w:t>All</w:t>
            </w:r>
          </w:p>
        </w:tc>
      </w:tr>
    </w:tbl>
    <w:p>
      <w:pPr>
        <w:spacing w:after="20"/>
      </w:pPr>
    </w:p>
    <w:p>
      <w:pPr>
        <w:pStyle w:val="Heading1"/>
      </w:pPr>
      <w:r>
        <w:t>5. Data Sources &amp; Integration</w:t>
      </w:r>
    </w:p>
    <w:p>
      <w:r>
        <w:t>The dashboard should consume curated/approved reporting data rather than directly embedding business-rule logic in individual visuals. The exact physical tables, columns and mappings should be maintained in the project data-mapping/data-model artefacts.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72554"/>
          </w:tcPr>
          <w:p>
            <w:pPr>
              <w:spacing w:after="0"/>
            </w:pPr>
            <w:r/>
            <w:r>
              <w:rPr>
                <w:rFonts w:ascii="Aptos" w:hAnsi="Aptos"/>
                <w:b/>
                <w:color w:val="FFFFFF"/>
                <w:sz w:val="17"/>
              </w:rPr>
              <w:t>Area</w:t>
            </w:r>
          </w:p>
        </w:tc>
        <w:tc>
          <w:tcPr>
            <w:tcW w:type="dxa" w:w="4464"/>
            <w:vAlign w:val="center"/>
            <w:shd w:fill="172554"/>
          </w:tcPr>
          <w:p>
            <w:pPr>
              <w:spacing w:after="0"/>
            </w:pPr>
            <w:r/>
            <w:r>
              <w:rPr>
                <w:rFonts w:ascii="Aptos" w:hAnsi="Aptos"/>
                <w:b/>
                <w:color w:val="FFFFFF"/>
                <w:sz w:val="17"/>
              </w:rPr>
              <w:t>Dashboard expectation</w:t>
            </w:r>
          </w:p>
        </w:tc>
        <w:tc>
          <w:tcPr>
            <w:tcW w:type="dxa" w:w="3168"/>
            <w:vAlign w:val="center"/>
            <w:shd w:fill="172554"/>
          </w:tcPr>
          <w:p>
            <w:pPr>
              <w:spacing w:after="0"/>
            </w:pPr>
            <w:r/>
            <w:r>
              <w:rPr>
                <w:rFonts w:ascii="Aptos" w:hAnsi="Aptos"/>
                <w:b/>
                <w:color w:val="FFFFFF"/>
                <w:sz w:val="17"/>
              </w:rPr>
              <w:t>FRS / project dependency</w:t>
            </w:r>
          </w:p>
        </w:tc>
      </w:tr>
      <w:tr>
        <w:tc>
          <w:tcPr>
            <w:tcW w:type="dxa" w:w="2304"/>
            <w:vAlign w:val="center"/>
          </w:tcPr>
          <w:p>
            <w:pPr>
              <w:spacing w:after="0"/>
            </w:pPr>
            <w:r/>
            <w:r>
              <w:rPr>
                <w:rFonts w:ascii="Aptos" w:hAnsi="Aptos"/>
                <w:b w:val="0"/>
                <w:color w:val="1F2937"/>
                <w:sz w:val="17"/>
              </w:rPr>
              <w:t>Retention metrics</w:t>
            </w:r>
          </w:p>
        </w:tc>
        <w:tc>
          <w:tcPr>
            <w:tcW w:type="dxa" w:w="4464"/>
            <w:vAlign w:val="center"/>
          </w:tcPr>
          <w:p>
            <w:pPr>
              <w:spacing w:after="0"/>
            </w:pPr>
            <w:r/>
            <w:r>
              <w:rPr>
                <w:rFonts w:ascii="Aptos" w:hAnsi="Aptos"/>
                <w:b w:val="0"/>
                <w:color w:val="1F2937"/>
                <w:sz w:val="17"/>
              </w:rPr>
              <w:t>Member and FUM retention values and historical trend.</w:t>
            </w:r>
          </w:p>
        </w:tc>
        <w:tc>
          <w:tcPr>
            <w:tcW w:type="dxa" w:w="3168"/>
            <w:vAlign w:val="center"/>
          </w:tcPr>
          <w:p>
            <w:pPr>
              <w:spacing w:after="0"/>
            </w:pPr>
            <w:r/>
            <w:r>
              <w:rPr>
                <w:rFonts w:ascii="Aptos" w:hAnsi="Aptos"/>
                <w:b w:val="0"/>
                <w:color w:val="1F2937"/>
                <w:sz w:val="17"/>
              </w:rPr>
              <w:t>Use approved retention definitions and calculation logic.</w:t>
            </w:r>
          </w:p>
        </w:tc>
      </w:tr>
      <w:tr>
        <w:tc>
          <w:tcPr>
            <w:tcW w:type="dxa" w:w="2304"/>
            <w:vAlign w:val="center"/>
          </w:tcPr>
          <w:p>
            <w:pPr>
              <w:spacing w:after="0"/>
            </w:pPr>
            <w:r/>
            <w:r>
              <w:rPr>
                <w:rFonts w:ascii="Aptos" w:hAnsi="Aptos"/>
                <w:b w:val="0"/>
                <w:color w:val="1F2937"/>
                <w:sz w:val="17"/>
              </w:rPr>
              <w:t>Member / account data</w:t>
            </w:r>
          </w:p>
        </w:tc>
        <w:tc>
          <w:tcPr>
            <w:tcW w:type="dxa" w:w="4464"/>
            <w:vAlign w:val="center"/>
          </w:tcPr>
          <w:p>
            <w:pPr>
              <w:spacing w:after="0"/>
            </w:pPr>
            <w:r/>
            <w:r>
              <w:rPr>
                <w:rFonts w:ascii="Aptos" w:hAnsi="Aptos"/>
                <w:b w:val="0"/>
                <w:color w:val="1F2937"/>
                <w:sz w:val="17"/>
              </w:rPr>
              <w:t>Member-level attributes for drill-through and segmentation.</w:t>
            </w:r>
          </w:p>
        </w:tc>
        <w:tc>
          <w:tcPr>
            <w:tcW w:type="dxa" w:w="3168"/>
            <w:vAlign w:val="center"/>
          </w:tcPr>
          <w:p>
            <w:pPr>
              <w:spacing w:after="0"/>
            </w:pPr>
            <w:r/>
            <w:r>
              <w:rPr>
                <w:rFonts w:ascii="Aptos" w:hAnsi="Aptos"/>
                <w:b w:val="0"/>
                <w:color w:val="1F2937"/>
                <w:sz w:val="17"/>
              </w:rPr>
              <w:t>Measurement level and identifiers to follow approved data model.</w:t>
            </w:r>
          </w:p>
        </w:tc>
      </w:tr>
      <w:tr>
        <w:tc>
          <w:tcPr>
            <w:tcW w:type="dxa" w:w="2304"/>
            <w:vAlign w:val="center"/>
          </w:tcPr>
          <w:p>
            <w:pPr>
              <w:spacing w:after="0"/>
            </w:pPr>
            <w:r/>
            <w:r>
              <w:rPr>
                <w:rFonts w:ascii="Aptos" w:hAnsi="Aptos"/>
                <w:b w:val="0"/>
                <w:color w:val="1F2937"/>
                <w:sz w:val="17"/>
              </w:rPr>
              <w:t>Risk / ML output</w:t>
            </w:r>
          </w:p>
        </w:tc>
        <w:tc>
          <w:tcPr>
            <w:tcW w:type="dxa" w:w="4464"/>
            <w:vAlign w:val="center"/>
          </w:tcPr>
          <w:p>
            <w:pPr>
              <w:spacing w:after="0"/>
            </w:pPr>
            <w:r/>
            <w:r>
              <w:rPr>
                <w:rFonts w:ascii="Aptos" w:hAnsi="Aptos"/>
                <w:b w:val="0"/>
                <w:color w:val="1F2937"/>
                <w:sz w:val="17"/>
              </w:rPr>
              <w:t>Risk score, risk band, retention category and churn drivers.</w:t>
            </w:r>
          </w:p>
        </w:tc>
        <w:tc>
          <w:tcPr>
            <w:tcW w:type="dxa" w:w="3168"/>
            <w:vAlign w:val="center"/>
          </w:tcPr>
          <w:p>
            <w:pPr>
              <w:spacing w:after="0"/>
            </w:pPr>
            <w:r/>
            <w:r>
              <w:rPr>
                <w:rFonts w:ascii="Aptos" w:hAnsi="Aptos"/>
                <w:b w:val="0"/>
                <w:color w:val="1F2937"/>
                <w:sz w:val="17"/>
              </w:rPr>
              <w:t>Consume approved ML/business prediction output.</w:t>
            </w:r>
          </w:p>
        </w:tc>
      </w:tr>
      <w:tr>
        <w:tc>
          <w:tcPr>
            <w:tcW w:type="dxa" w:w="2304"/>
            <w:vAlign w:val="center"/>
          </w:tcPr>
          <w:p>
            <w:pPr>
              <w:spacing w:after="0"/>
            </w:pPr>
            <w:r/>
            <w:r>
              <w:rPr>
                <w:rFonts w:ascii="Aptos" w:hAnsi="Aptos"/>
                <w:b w:val="0"/>
                <w:color w:val="1F2937"/>
                <w:sz w:val="17"/>
              </w:rPr>
              <w:t>FUM / cashflow</w:t>
            </w:r>
          </w:p>
        </w:tc>
        <w:tc>
          <w:tcPr>
            <w:tcW w:type="dxa" w:w="4464"/>
            <w:vAlign w:val="center"/>
          </w:tcPr>
          <w:p>
            <w:pPr>
              <w:spacing w:after="0"/>
            </w:pPr>
            <w:r/>
            <w:r>
              <w:rPr>
                <w:rFonts w:ascii="Aptos" w:hAnsi="Aptos"/>
                <w:b w:val="0"/>
                <w:color w:val="1F2937"/>
                <w:sz w:val="17"/>
              </w:rPr>
              <w:t>FUM start/end, inflow/outflow and cashflow components.</w:t>
            </w:r>
          </w:p>
        </w:tc>
        <w:tc>
          <w:tcPr>
            <w:tcW w:type="dxa" w:w="3168"/>
            <w:vAlign w:val="center"/>
          </w:tcPr>
          <w:p>
            <w:pPr>
              <w:spacing w:after="0"/>
            </w:pPr>
            <w:r/>
            <w:r>
              <w:rPr>
                <w:rFonts w:ascii="Aptos" w:hAnsi="Aptos"/>
                <w:b w:val="0"/>
                <w:color w:val="1F2937"/>
                <w:sz w:val="17"/>
              </w:rPr>
              <w:t>Use approved financial metric definitions.</w:t>
            </w:r>
          </w:p>
        </w:tc>
      </w:tr>
      <w:tr>
        <w:tc>
          <w:tcPr>
            <w:tcW w:type="dxa" w:w="2304"/>
            <w:vAlign w:val="center"/>
          </w:tcPr>
          <w:p>
            <w:pPr>
              <w:spacing w:after="0"/>
            </w:pPr>
            <w:r/>
            <w:r>
              <w:rPr>
                <w:rFonts w:ascii="Aptos" w:hAnsi="Aptos"/>
                <w:b w:val="0"/>
                <w:color w:val="1F2937"/>
                <w:sz w:val="17"/>
              </w:rPr>
              <w:t>Behavioural data</w:t>
            </w:r>
          </w:p>
        </w:tc>
        <w:tc>
          <w:tcPr>
            <w:tcW w:type="dxa" w:w="4464"/>
            <w:vAlign w:val="center"/>
          </w:tcPr>
          <w:p>
            <w:pPr>
              <w:spacing w:after="0"/>
            </w:pPr>
            <w:r/>
            <w:r>
              <w:rPr>
                <w:rFonts w:ascii="Aptos" w:hAnsi="Aptos"/>
                <w:b w:val="0"/>
                <w:color w:val="1F2937"/>
                <w:sz w:val="17"/>
              </w:rPr>
              <w:t>Login/activity/engagement indicators where approved.</w:t>
            </w:r>
          </w:p>
        </w:tc>
        <w:tc>
          <w:tcPr>
            <w:tcW w:type="dxa" w:w="3168"/>
            <w:vAlign w:val="center"/>
          </w:tcPr>
          <w:p>
            <w:pPr>
              <w:spacing w:after="0"/>
            </w:pPr>
            <w:r/>
            <w:r>
              <w:rPr>
                <w:rFonts w:ascii="Aptos" w:hAnsi="Aptos"/>
                <w:b w:val="0"/>
                <w:color w:val="1F2937"/>
                <w:sz w:val="17"/>
              </w:rPr>
              <w:t>Final field availability to be confirmed through data mapping.</w:t>
            </w:r>
          </w:p>
        </w:tc>
      </w:tr>
    </w:tbl>
    <w:p>
      <w:pPr>
        <w:spacing w:after="20"/>
      </w:pPr>
    </w:p>
    <w:p>
      <w:pPr>
        <w:pStyle w:val="Heading2"/>
      </w:pPr>
      <w:r>
        <w:t>5.1 Integration Principles</w:t>
      </w:r>
    </w:p>
    <w:p>
      <w:pPr>
        <w:pStyle w:val="ListBullet"/>
        <w:spacing w:after="30"/>
        <w:ind w:left="288"/>
      </w:pPr>
      <w:r>
        <w:t>Use the approved Gold/curated reporting layer or equivalent consumption-ready dataset.</w:t>
      </w:r>
    </w:p>
    <w:p>
      <w:pPr>
        <w:pStyle w:val="ListBullet"/>
        <w:spacing w:after="30"/>
        <w:ind w:left="288"/>
      </w:pPr>
      <w:r>
        <w:t>Maintain consistent keys for member/account drill-through.</w:t>
      </w:r>
    </w:p>
    <w:p>
      <w:pPr>
        <w:pStyle w:val="ListBullet"/>
        <w:spacing w:after="30"/>
        <w:ind w:left="288"/>
      </w:pPr>
      <w:r>
        <w:t>Ensure dashboard aggregates reconcile with the underlying reporting output.</w:t>
      </w:r>
    </w:p>
    <w:p>
      <w:pPr>
        <w:pStyle w:val="ListBullet"/>
        <w:spacing w:after="30"/>
        <w:ind w:left="288"/>
      </w:pPr>
      <w:r>
        <w:t>Avoid duplicating business definitions independently across multiple reports.</w:t>
      </w:r>
    </w:p>
    <w:p>
      <w:pPr>
        <w:pStyle w:val="ListBullet"/>
        <w:spacing w:after="30"/>
        <w:ind w:left="288"/>
      </w:pPr>
      <w:r>
        <w:t>Document refresh cadence and source ownership in the final implementation documentation.</w:t>
      </w:r>
    </w:p>
    <w:p>
      <w:pPr>
        <w:pStyle w:val="Heading1"/>
      </w:pPr>
      <w:r>
        <w:t>6. Functional Requirements</w:t>
      </w:r>
    </w:p>
    <w:p>
      <w:pPr>
        <w:pStyle w:val="Heading2"/>
      </w:pPr>
      <w:r>
        <w:t>6.1 Filtering and Slicing</w:t>
      </w:r>
    </w:p>
    <w:p>
      <w:pPr>
        <w:pStyle w:val="ListBullet"/>
        <w:spacing w:after="30"/>
        <w:ind w:left="288"/>
      </w:pPr>
      <w:r>
        <w:t>Users shall be able to apply the available dashboard filters to analyse the reporting population.</w:t>
      </w:r>
    </w:p>
    <w:p>
      <w:pPr>
        <w:pStyle w:val="ListBullet"/>
        <w:spacing w:after="30"/>
        <w:ind w:left="288"/>
      </w:pPr>
      <w:r>
        <w:t>Filter selections shall update the applicable KPIs and visuals consistently.</w:t>
      </w:r>
    </w:p>
    <w:p>
      <w:pPr>
        <w:pStyle w:val="ListBullet"/>
        <w:spacing w:after="30"/>
        <w:ind w:left="288"/>
      </w:pPr>
      <w:r>
        <w:t>Default filter values shall follow the approved dashboard design.</w:t>
      </w:r>
    </w:p>
    <w:p>
      <w:pPr>
        <w:pStyle w:val="ListBullet"/>
        <w:spacing w:after="30"/>
        <w:ind w:left="288"/>
      </w:pPr>
      <w:r>
        <w:t>Filter behaviour and cascading rules shall be consistent with the final Power BI implementation.</w:t>
      </w:r>
    </w:p>
    <w:p>
      <w:pPr>
        <w:pStyle w:val="Heading2"/>
      </w:pPr>
      <w:r>
        <w:t>6.2 KPI Reporting</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172554"/>
          </w:tcPr>
          <w:p>
            <w:pPr>
              <w:spacing w:after="0"/>
            </w:pPr>
            <w:r/>
            <w:r>
              <w:rPr>
                <w:rFonts w:ascii="Aptos" w:hAnsi="Aptos"/>
                <w:b/>
                <w:color w:val="FFFFFF"/>
                <w:sz w:val="17"/>
              </w:rPr>
              <w:t>KPI</w:t>
            </w:r>
          </w:p>
        </w:tc>
        <w:tc>
          <w:tcPr>
            <w:tcW w:type="dxa" w:w="6480"/>
            <w:vAlign w:val="center"/>
            <w:shd w:fill="172554"/>
          </w:tcPr>
          <w:p>
            <w:pPr>
              <w:spacing w:after="0"/>
            </w:pPr>
            <w:r/>
            <w:r>
              <w:rPr>
                <w:rFonts w:ascii="Aptos" w:hAnsi="Aptos"/>
                <w:b/>
                <w:color w:val="FFFFFF"/>
                <w:sz w:val="17"/>
              </w:rPr>
              <w:t>Expected dashboard presentation</w:t>
            </w:r>
          </w:p>
        </w:tc>
      </w:tr>
      <w:tr>
        <w:tc>
          <w:tcPr>
            <w:tcW w:type="dxa" w:w="3456"/>
            <w:vAlign w:val="center"/>
          </w:tcPr>
          <w:p>
            <w:pPr>
              <w:spacing w:after="0"/>
            </w:pPr>
            <w:r/>
            <w:r>
              <w:rPr>
                <w:rFonts w:ascii="Aptos" w:hAnsi="Aptos"/>
                <w:b w:val="0"/>
                <w:color w:val="1F2937"/>
                <w:sz w:val="17"/>
              </w:rPr>
              <w:t>Retention Rate (Member)</w:t>
            </w:r>
          </w:p>
        </w:tc>
        <w:tc>
          <w:tcPr>
            <w:tcW w:type="dxa" w:w="6480"/>
            <w:vAlign w:val="center"/>
          </w:tcPr>
          <w:p>
            <w:pPr>
              <w:spacing w:after="0"/>
            </w:pPr>
            <w:r/>
            <w:r>
              <w:rPr>
                <w:rFonts w:ascii="Aptos" w:hAnsi="Aptos"/>
                <w:b w:val="0"/>
                <w:color w:val="1F2937"/>
                <w:sz w:val="17"/>
              </w:rPr>
              <w:t>Percentage KPI with comparison to reference period and trend.</w:t>
            </w:r>
          </w:p>
        </w:tc>
      </w:tr>
      <w:tr>
        <w:tc>
          <w:tcPr>
            <w:tcW w:type="dxa" w:w="3456"/>
            <w:vAlign w:val="center"/>
          </w:tcPr>
          <w:p>
            <w:pPr>
              <w:spacing w:after="0"/>
            </w:pPr>
            <w:r/>
            <w:r>
              <w:rPr>
                <w:rFonts w:ascii="Aptos" w:hAnsi="Aptos"/>
                <w:b w:val="0"/>
                <w:color w:val="1F2937"/>
                <w:sz w:val="17"/>
              </w:rPr>
              <w:t>Retention Rate (FUM)</w:t>
            </w:r>
          </w:p>
        </w:tc>
        <w:tc>
          <w:tcPr>
            <w:tcW w:type="dxa" w:w="6480"/>
            <w:vAlign w:val="center"/>
          </w:tcPr>
          <w:p>
            <w:pPr>
              <w:spacing w:after="0"/>
            </w:pPr>
            <w:r/>
            <w:r>
              <w:rPr>
                <w:rFonts w:ascii="Aptos" w:hAnsi="Aptos"/>
                <w:b w:val="0"/>
                <w:color w:val="1F2937"/>
                <w:sz w:val="17"/>
              </w:rPr>
              <w:t>Percentage KPI with comparison to reference period and trend.</w:t>
            </w:r>
          </w:p>
        </w:tc>
      </w:tr>
      <w:tr>
        <w:tc>
          <w:tcPr>
            <w:tcW w:type="dxa" w:w="3456"/>
            <w:vAlign w:val="center"/>
          </w:tcPr>
          <w:p>
            <w:pPr>
              <w:spacing w:after="0"/>
            </w:pPr>
            <w:r/>
            <w:r>
              <w:rPr>
                <w:rFonts w:ascii="Aptos" w:hAnsi="Aptos"/>
                <w:b w:val="0"/>
                <w:color w:val="1F2937"/>
                <w:sz w:val="17"/>
              </w:rPr>
              <w:t>Active Members</w:t>
            </w:r>
          </w:p>
        </w:tc>
        <w:tc>
          <w:tcPr>
            <w:tcW w:type="dxa" w:w="6480"/>
            <w:vAlign w:val="center"/>
          </w:tcPr>
          <w:p>
            <w:pPr>
              <w:spacing w:after="0"/>
            </w:pPr>
            <w:r/>
            <w:r>
              <w:rPr>
                <w:rFonts w:ascii="Aptos" w:hAnsi="Aptos"/>
                <w:b w:val="0"/>
                <w:color w:val="1F2937"/>
                <w:sz w:val="17"/>
              </w:rPr>
              <w:t>Member volume with period comparison.</w:t>
            </w:r>
          </w:p>
        </w:tc>
      </w:tr>
      <w:tr>
        <w:tc>
          <w:tcPr>
            <w:tcW w:type="dxa" w:w="3456"/>
            <w:vAlign w:val="center"/>
          </w:tcPr>
          <w:p>
            <w:pPr>
              <w:spacing w:after="0"/>
            </w:pPr>
            <w:r/>
            <w:r>
              <w:rPr>
                <w:rFonts w:ascii="Aptos" w:hAnsi="Aptos"/>
                <w:b w:val="0"/>
                <w:color w:val="1F2937"/>
                <w:sz w:val="17"/>
              </w:rPr>
              <w:t>Net Rollover Ratio</w:t>
            </w:r>
          </w:p>
        </w:tc>
        <w:tc>
          <w:tcPr>
            <w:tcW w:type="dxa" w:w="6480"/>
            <w:vAlign w:val="center"/>
          </w:tcPr>
          <w:p>
            <w:pPr>
              <w:spacing w:after="0"/>
            </w:pPr>
            <w:r/>
            <w:r>
              <w:rPr>
                <w:rFonts w:ascii="Aptos" w:hAnsi="Aptos"/>
                <w:b w:val="0"/>
                <w:color w:val="1F2937"/>
                <w:sz w:val="17"/>
              </w:rPr>
              <w:t>Ratio with period comparison.</w:t>
            </w:r>
          </w:p>
        </w:tc>
      </w:tr>
      <w:tr>
        <w:tc>
          <w:tcPr>
            <w:tcW w:type="dxa" w:w="3456"/>
            <w:vAlign w:val="center"/>
          </w:tcPr>
          <w:p>
            <w:pPr>
              <w:spacing w:after="0"/>
            </w:pPr>
            <w:r/>
            <w:r>
              <w:rPr>
                <w:rFonts w:ascii="Aptos" w:hAnsi="Aptos"/>
                <w:b w:val="0"/>
                <w:color w:val="1F2937"/>
                <w:sz w:val="17"/>
              </w:rPr>
              <w:t>Inactivity Exit Rate / Exit Rate</w:t>
            </w:r>
          </w:p>
        </w:tc>
        <w:tc>
          <w:tcPr>
            <w:tcW w:type="dxa" w:w="6480"/>
            <w:vAlign w:val="center"/>
          </w:tcPr>
          <w:p>
            <w:pPr>
              <w:spacing w:after="0"/>
            </w:pPr>
            <w:r/>
            <w:r>
              <w:rPr>
                <w:rFonts w:ascii="Aptos" w:hAnsi="Aptos"/>
                <w:b w:val="0"/>
                <w:color w:val="1F2937"/>
                <w:sz w:val="17"/>
              </w:rPr>
              <w:t>Percentage KPI with period comparison.</w:t>
            </w:r>
          </w:p>
        </w:tc>
      </w:tr>
      <w:tr>
        <w:tc>
          <w:tcPr>
            <w:tcW w:type="dxa" w:w="3456"/>
            <w:vAlign w:val="center"/>
          </w:tcPr>
          <w:p>
            <w:pPr>
              <w:spacing w:after="0"/>
            </w:pPr>
            <w:r/>
            <w:r>
              <w:rPr>
                <w:rFonts w:ascii="Aptos" w:hAnsi="Aptos"/>
                <w:b w:val="0"/>
                <w:color w:val="1F2937"/>
                <w:sz w:val="17"/>
              </w:rPr>
              <w:t>NPS (VOC)</w:t>
            </w:r>
          </w:p>
        </w:tc>
        <w:tc>
          <w:tcPr>
            <w:tcW w:type="dxa" w:w="6480"/>
            <w:vAlign w:val="center"/>
          </w:tcPr>
          <w:p>
            <w:pPr>
              <w:spacing w:after="0"/>
            </w:pPr>
            <w:r/>
            <w:r>
              <w:rPr>
                <w:rFonts w:ascii="Aptos" w:hAnsi="Aptos"/>
                <w:b w:val="0"/>
                <w:color w:val="1F2937"/>
                <w:sz w:val="17"/>
              </w:rPr>
              <w:t>Customer sentiment score where applicable.</w:t>
            </w:r>
          </w:p>
        </w:tc>
      </w:tr>
      <w:tr>
        <w:tc>
          <w:tcPr>
            <w:tcW w:type="dxa" w:w="3456"/>
            <w:vAlign w:val="center"/>
          </w:tcPr>
          <w:p>
            <w:pPr>
              <w:spacing w:after="0"/>
            </w:pPr>
            <w:r/>
            <w:r>
              <w:rPr>
                <w:rFonts w:ascii="Aptos" w:hAnsi="Aptos"/>
                <w:b w:val="0"/>
                <w:color w:val="1F2937"/>
                <w:sz w:val="17"/>
              </w:rPr>
              <w:t>CSAT Score (VOC)</w:t>
            </w:r>
          </w:p>
        </w:tc>
        <w:tc>
          <w:tcPr>
            <w:tcW w:type="dxa" w:w="6480"/>
            <w:vAlign w:val="center"/>
          </w:tcPr>
          <w:p>
            <w:pPr>
              <w:spacing w:after="0"/>
            </w:pPr>
            <w:r/>
            <w:r>
              <w:rPr>
                <w:rFonts w:ascii="Aptos" w:hAnsi="Aptos"/>
                <w:b w:val="0"/>
                <w:color w:val="1F2937"/>
                <w:sz w:val="17"/>
              </w:rPr>
              <w:t>Customer satisfaction score where applicable.</w:t>
            </w:r>
          </w:p>
        </w:tc>
      </w:tr>
      <w:tr>
        <w:tc>
          <w:tcPr>
            <w:tcW w:type="dxa" w:w="3456"/>
            <w:vAlign w:val="center"/>
          </w:tcPr>
          <w:p>
            <w:pPr>
              <w:spacing w:after="0"/>
            </w:pPr>
            <w:r/>
            <w:r>
              <w:rPr>
                <w:rFonts w:ascii="Aptos" w:hAnsi="Aptos"/>
                <w:b w:val="0"/>
                <w:color w:val="1F2937"/>
                <w:sz w:val="17"/>
              </w:rPr>
              <w:t>Members at Risk</w:t>
            </w:r>
          </w:p>
        </w:tc>
        <w:tc>
          <w:tcPr>
            <w:tcW w:type="dxa" w:w="6480"/>
            <w:vAlign w:val="center"/>
          </w:tcPr>
          <w:p>
            <w:pPr>
              <w:spacing w:after="0"/>
            </w:pPr>
            <w:r/>
            <w:r>
              <w:rPr>
                <w:rFonts w:ascii="Aptos" w:hAnsi="Aptos"/>
                <w:b w:val="0"/>
                <w:color w:val="1F2937"/>
                <w:sz w:val="17"/>
              </w:rPr>
              <w:t>Count plus percentage of total population.</w:t>
            </w:r>
          </w:p>
        </w:tc>
      </w:tr>
    </w:tbl>
    <w:p>
      <w:pPr>
        <w:spacing w:after="20"/>
      </w:pPr>
    </w:p>
    <w:p>
      <w:pPr>
        <w:pStyle w:val="Heading2"/>
      </w:pPr>
      <w:r>
        <w:t>6.3 Visual and Analytical Requirements</w:t>
      </w:r>
    </w:p>
    <w:p>
      <w:pPr>
        <w:pStyle w:val="ListBullet"/>
        <w:spacing w:after="30"/>
        <w:ind w:left="288"/>
      </w:pPr>
      <w:r>
        <w:t>Retention Rate Trend shall show Member and FUM retention over time.</w:t>
      </w:r>
    </w:p>
    <w:p>
      <w:pPr>
        <w:pStyle w:val="ListBullet"/>
        <w:spacing w:after="30"/>
        <w:ind w:left="288"/>
      </w:pPr>
      <w:r>
        <w:t>Member Movements shall distinguish new, exited and net movement.</w:t>
      </w:r>
    </w:p>
    <w:p>
      <w:pPr>
        <w:pStyle w:val="ListBullet"/>
        <w:spacing w:after="30"/>
        <w:ind w:left="288"/>
      </w:pPr>
      <w:r>
        <w:t>Churn Risk Distribution shall show High, Medium and Low risk populations.</w:t>
      </w:r>
    </w:p>
    <w:p>
      <w:pPr>
        <w:pStyle w:val="ListBullet"/>
        <w:spacing w:after="30"/>
        <w:ind w:left="288"/>
      </w:pPr>
      <w:r>
        <w:t>Top Churn Drivers shall rank the leading drivers for high-risk members.</w:t>
      </w:r>
    </w:p>
    <w:p>
      <w:pPr>
        <w:pStyle w:val="ListBullet"/>
        <w:spacing w:after="30"/>
        <w:ind w:left="288"/>
      </w:pPr>
      <w:r>
        <w:t>Inflow vs Outflow shall show FUM inflow, outflow and net movement.</w:t>
      </w:r>
    </w:p>
    <w:p>
      <w:pPr>
        <w:pStyle w:val="ListBullet"/>
        <w:spacing w:after="30"/>
        <w:ind w:left="288"/>
      </w:pPr>
      <w:r>
        <w:t>Net Cashflow shall show the approved cashflow categories over time.</w:t>
      </w:r>
    </w:p>
    <w:p>
      <w:pPr>
        <w:pStyle w:val="ListBullet"/>
        <w:spacing w:after="30"/>
        <w:ind w:left="288"/>
      </w:pPr>
      <w:r>
        <w:t>Visual selections should support drill-through where configured.</w:t>
      </w:r>
    </w:p>
    <w:p>
      <w:pPr>
        <w:pStyle w:val="Heading2"/>
      </w:pPr>
      <w:r>
        <w:t>6.4 Drill-Through Requirements</w:t>
      </w:r>
    </w:p>
    <w:p>
      <w:pPr>
        <w:pStyle w:val="ListBullet"/>
        <w:spacing w:after="30"/>
        <w:ind w:left="288"/>
      </w:pPr>
      <w:r>
        <w:t>Users shall be able to navigate from applicable dashboard data points to member-level details.</w:t>
      </w:r>
    </w:p>
    <w:p>
      <w:pPr>
        <w:pStyle w:val="ListBullet"/>
        <w:spacing w:after="30"/>
        <w:ind w:left="288"/>
      </w:pPr>
      <w:r>
        <w:t>Relevant dashboard filter context shall be passed to the drill-through page.</w:t>
      </w:r>
    </w:p>
    <w:p>
      <w:pPr>
        <w:pStyle w:val="ListBullet"/>
        <w:spacing w:after="30"/>
        <w:ind w:left="288"/>
      </w:pPr>
      <w:r>
        <w:t>The drill-through report shall provide clear navigation back to the dashboard.</w:t>
      </w:r>
    </w:p>
    <w:p>
      <w:pPr>
        <w:pStyle w:val="ListBullet"/>
        <w:spacing w:after="30"/>
        <w:ind w:left="288"/>
      </w:pPr>
      <w:r>
        <w:t>The detail report shall support pagination and member/account-level inspection.</w:t>
      </w:r>
    </w:p>
    <w:p>
      <w:pPr>
        <w:pStyle w:val="Heading1"/>
      </w:pPr>
      <w:r>
        <w:t>7. Dashboard Specifications</w:t>
      </w:r>
    </w:p>
    <w:p>
      <w:pPr>
        <w:pStyle w:val="Heading2"/>
      </w:pPr>
      <w:r>
        <w:t>7.1 Retention Analytics Dashboard</w:t>
      </w:r>
    </w:p>
    <w:p>
      <w:pPr>
        <w:jc w:val="center"/>
      </w:pPr>
      <w:r>
        <w:drawing>
          <wp:inline xmlns:a="http://schemas.openxmlformats.org/drawingml/2006/main" xmlns:pic="http://schemas.openxmlformats.org/drawingml/2006/picture">
            <wp:extent cx="5989320" cy="3447990"/>
            <wp:docPr id="1" name="Picture 1"/>
            <wp:cNvGraphicFramePr>
              <a:graphicFrameLocks noChangeAspect="1"/>
            </wp:cNvGraphicFramePr>
            <a:graphic>
              <a:graphicData uri="http://schemas.openxmlformats.org/drawingml/2006/picture">
                <pic:pic>
                  <pic:nvPicPr>
                    <pic:cNvPr id="0" name="8d63d746-1c50-4b57-961e-0e569dbd231f.png"/>
                    <pic:cNvPicPr/>
                  </pic:nvPicPr>
                  <pic:blipFill>
                    <a:blip r:embed="rId9"/>
                    <a:stretch>
                      <a:fillRect/>
                    </a:stretch>
                  </pic:blipFill>
                  <pic:spPr>
                    <a:xfrm>
                      <a:off x="0" y="0"/>
                      <a:ext cx="5989320" cy="3447990"/>
                    </a:xfrm>
                    <a:prstGeom prst="rect"/>
                  </pic:spPr>
                </pic:pic>
              </a:graphicData>
            </a:graphic>
          </wp:inline>
        </w:drawing>
      </w:r>
    </w:p>
    <w:p>
      <w:pPr>
        <w:jc w:val="center"/>
      </w:pPr>
      <w:r>
        <w:rPr>
          <w:i/>
          <w:color w:val="6B7280"/>
          <w:sz w:val="16"/>
        </w:rPr>
        <w:t>Figure 1 – Retention Analytics Dashboard mock-up</w:t>
      </w:r>
    </w:p>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72554"/>
          </w:tcPr>
          <w:p>
            <w:pPr>
              <w:spacing w:after="0"/>
            </w:pPr>
            <w:r/>
            <w:r>
              <w:rPr>
                <w:rFonts w:ascii="Aptos" w:hAnsi="Aptos"/>
                <w:b/>
                <w:color w:val="FFFFFF"/>
                <w:sz w:val="17"/>
              </w:rPr>
              <w:t>Area</w:t>
            </w:r>
          </w:p>
        </w:tc>
        <w:tc>
          <w:tcPr>
            <w:tcW w:type="dxa" w:w="7344"/>
            <w:vAlign w:val="center"/>
            <w:shd w:fill="172554"/>
          </w:tcPr>
          <w:p>
            <w:pPr>
              <w:spacing w:after="0"/>
            </w:pPr>
            <w:r/>
            <w:r>
              <w:rPr>
                <w:rFonts w:ascii="Aptos" w:hAnsi="Aptos"/>
                <w:b/>
                <w:color w:val="FFFFFF"/>
                <w:sz w:val="17"/>
              </w:rPr>
              <w:t>Specification</w:t>
            </w:r>
          </w:p>
        </w:tc>
      </w:tr>
      <w:tr>
        <w:tc>
          <w:tcPr>
            <w:tcW w:type="dxa" w:w="2592"/>
            <w:vAlign w:val="center"/>
          </w:tcPr>
          <w:p>
            <w:pPr>
              <w:spacing w:after="0"/>
            </w:pPr>
            <w:r/>
            <w:r>
              <w:rPr>
                <w:rFonts w:ascii="Aptos" w:hAnsi="Aptos"/>
                <w:b w:val="0"/>
                <w:color w:val="1F2937"/>
                <w:sz w:val="17"/>
              </w:rPr>
              <w:t>Header</w:t>
            </w:r>
          </w:p>
        </w:tc>
        <w:tc>
          <w:tcPr>
            <w:tcW w:type="dxa" w:w="7344"/>
            <w:vAlign w:val="center"/>
          </w:tcPr>
          <w:p>
            <w:pPr>
              <w:spacing w:after="0"/>
            </w:pPr>
            <w:r/>
            <w:r>
              <w:rPr>
                <w:rFonts w:ascii="Aptos" w:hAnsi="Aptos"/>
                <w:b w:val="0"/>
                <w:color w:val="1F2937"/>
                <w:sz w:val="17"/>
              </w:rPr>
              <w:t>Dashboard title, executive-summary label and reporting/data-as-of date.</w:t>
            </w:r>
          </w:p>
        </w:tc>
      </w:tr>
      <w:tr>
        <w:tc>
          <w:tcPr>
            <w:tcW w:type="dxa" w:w="2592"/>
            <w:vAlign w:val="center"/>
          </w:tcPr>
          <w:p>
            <w:pPr>
              <w:spacing w:after="0"/>
            </w:pPr>
            <w:r/>
            <w:r>
              <w:rPr>
                <w:rFonts w:ascii="Aptos" w:hAnsi="Aptos"/>
                <w:b w:val="0"/>
                <w:color w:val="1F2937"/>
                <w:sz w:val="17"/>
              </w:rPr>
              <w:t>Left filter panel</w:t>
            </w:r>
          </w:p>
        </w:tc>
        <w:tc>
          <w:tcPr>
            <w:tcW w:type="dxa" w:w="7344"/>
            <w:vAlign w:val="center"/>
          </w:tcPr>
          <w:p>
            <w:pPr>
              <w:spacing w:after="0"/>
            </w:pPr>
            <w:r/>
            <w:r>
              <w:rPr>
                <w:rFonts w:ascii="Aptos" w:hAnsi="Aptos"/>
                <w:b w:val="0"/>
                <w:color w:val="1F2937"/>
                <w:sz w:val="17"/>
              </w:rPr>
              <w:t>Date, Gender, Age Group, Tenure Band, Life Stage, Channel, Region and Account Type.</w:t>
            </w:r>
          </w:p>
        </w:tc>
      </w:tr>
      <w:tr>
        <w:tc>
          <w:tcPr>
            <w:tcW w:type="dxa" w:w="2592"/>
            <w:vAlign w:val="center"/>
          </w:tcPr>
          <w:p>
            <w:pPr>
              <w:spacing w:after="0"/>
            </w:pPr>
            <w:r/>
            <w:r>
              <w:rPr>
                <w:rFonts w:ascii="Aptos" w:hAnsi="Aptos"/>
                <w:b w:val="0"/>
                <w:color w:val="1F2937"/>
                <w:sz w:val="17"/>
              </w:rPr>
              <w:t>Top KPI area</w:t>
            </w:r>
          </w:p>
        </w:tc>
        <w:tc>
          <w:tcPr>
            <w:tcW w:type="dxa" w:w="7344"/>
            <w:vAlign w:val="center"/>
          </w:tcPr>
          <w:p>
            <w:pPr>
              <w:spacing w:after="0"/>
            </w:pPr>
            <w:r/>
            <w:r>
              <w:rPr>
                <w:rFonts w:ascii="Aptos" w:hAnsi="Aptos"/>
                <w:b w:val="0"/>
                <w:color w:val="1F2937"/>
                <w:sz w:val="17"/>
              </w:rPr>
              <w:t>Retention, activity, rollover, inactivity, NPS, CSAT and members-at-risk indicators.</w:t>
            </w:r>
          </w:p>
        </w:tc>
      </w:tr>
      <w:tr>
        <w:tc>
          <w:tcPr>
            <w:tcW w:type="dxa" w:w="2592"/>
            <w:vAlign w:val="center"/>
          </w:tcPr>
          <w:p>
            <w:pPr>
              <w:spacing w:after="0"/>
            </w:pPr>
            <w:r/>
            <w:r>
              <w:rPr>
                <w:rFonts w:ascii="Aptos" w:hAnsi="Aptos"/>
                <w:b w:val="0"/>
                <w:color w:val="1F2937"/>
                <w:sz w:val="17"/>
              </w:rPr>
              <w:t>Middle analytics</w:t>
            </w:r>
          </w:p>
        </w:tc>
        <w:tc>
          <w:tcPr>
            <w:tcW w:type="dxa" w:w="7344"/>
            <w:vAlign w:val="center"/>
          </w:tcPr>
          <w:p>
            <w:pPr>
              <w:spacing w:after="0"/>
            </w:pPr>
            <w:r/>
            <w:r>
              <w:rPr>
                <w:rFonts w:ascii="Aptos" w:hAnsi="Aptos"/>
                <w:b w:val="0"/>
                <w:color w:val="1F2937"/>
                <w:sz w:val="17"/>
              </w:rPr>
              <w:t>Retention trend, member movements and churn-risk distribution.</w:t>
            </w:r>
          </w:p>
        </w:tc>
      </w:tr>
      <w:tr>
        <w:tc>
          <w:tcPr>
            <w:tcW w:type="dxa" w:w="2592"/>
            <w:vAlign w:val="center"/>
          </w:tcPr>
          <w:p>
            <w:pPr>
              <w:spacing w:after="0"/>
            </w:pPr>
            <w:r/>
            <w:r>
              <w:rPr>
                <w:rFonts w:ascii="Aptos" w:hAnsi="Aptos"/>
                <w:b w:val="0"/>
                <w:color w:val="1F2937"/>
                <w:sz w:val="17"/>
              </w:rPr>
              <w:t>Lower analytics</w:t>
            </w:r>
          </w:p>
        </w:tc>
        <w:tc>
          <w:tcPr>
            <w:tcW w:type="dxa" w:w="7344"/>
            <w:vAlign w:val="center"/>
          </w:tcPr>
          <w:p>
            <w:pPr>
              <w:spacing w:after="0"/>
            </w:pPr>
            <w:r/>
            <w:r>
              <w:rPr>
                <w:rFonts w:ascii="Aptos" w:hAnsi="Aptos"/>
                <w:b w:val="0"/>
                <w:color w:val="1F2937"/>
                <w:sz w:val="17"/>
              </w:rPr>
              <w:t>FUM inflow/outflow and net cashflow.</w:t>
            </w:r>
          </w:p>
        </w:tc>
      </w:tr>
      <w:tr>
        <w:tc>
          <w:tcPr>
            <w:tcW w:type="dxa" w:w="2592"/>
            <w:vAlign w:val="center"/>
          </w:tcPr>
          <w:p>
            <w:pPr>
              <w:spacing w:after="0"/>
            </w:pPr>
            <w:r/>
            <w:r>
              <w:rPr>
                <w:rFonts w:ascii="Aptos" w:hAnsi="Aptos"/>
                <w:b w:val="0"/>
                <w:color w:val="1F2937"/>
                <w:sz w:val="17"/>
              </w:rPr>
              <w:t>Right-side insight area</w:t>
            </w:r>
          </w:p>
        </w:tc>
        <w:tc>
          <w:tcPr>
            <w:tcW w:type="dxa" w:w="7344"/>
            <w:vAlign w:val="center"/>
          </w:tcPr>
          <w:p>
            <w:pPr>
              <w:spacing w:after="0"/>
            </w:pPr>
            <w:r/>
            <w:r>
              <w:rPr>
                <w:rFonts w:ascii="Aptos" w:hAnsi="Aptos"/>
                <w:b w:val="0"/>
                <w:color w:val="1F2937"/>
                <w:sz w:val="17"/>
              </w:rPr>
              <w:t>Top drivers of churn among high-risk members.</w:t>
            </w:r>
          </w:p>
        </w:tc>
      </w:tr>
    </w:tbl>
    <w:p>
      <w:pPr>
        <w:spacing w:after="20"/>
      </w:pPr>
    </w:p>
    <w:p>
      <w:pPr>
        <w:pStyle w:val="Heading2"/>
      </w:pPr>
      <w:r>
        <w:t>7.2 Member Drill Through Report</w:t>
      </w:r>
    </w:p>
    <w:p>
      <w:pPr>
        <w:jc w:val="center"/>
      </w:pPr>
      <w:r>
        <w:drawing>
          <wp:inline xmlns:a="http://schemas.openxmlformats.org/drawingml/2006/main" xmlns:pic="http://schemas.openxmlformats.org/drawingml/2006/picture">
            <wp:extent cx="5989320" cy="3396928"/>
            <wp:docPr id="2" name="Picture 2"/>
            <wp:cNvGraphicFramePr>
              <a:graphicFrameLocks noChangeAspect="1"/>
            </wp:cNvGraphicFramePr>
            <a:graphic>
              <a:graphicData uri="http://schemas.openxmlformats.org/drawingml/2006/picture">
                <pic:pic>
                  <pic:nvPicPr>
                    <pic:cNvPr id="0" name="b7f6e0e7-f4dd-482d-84d7-2381db74a13e.png"/>
                    <pic:cNvPicPr/>
                  </pic:nvPicPr>
                  <pic:blipFill>
                    <a:blip r:embed="rId10"/>
                    <a:stretch>
                      <a:fillRect/>
                    </a:stretch>
                  </pic:blipFill>
                  <pic:spPr>
                    <a:xfrm>
                      <a:off x="0" y="0"/>
                      <a:ext cx="5989320" cy="3396928"/>
                    </a:xfrm>
                    <a:prstGeom prst="rect"/>
                  </pic:spPr>
                </pic:pic>
              </a:graphicData>
            </a:graphic>
          </wp:inline>
        </w:drawing>
      </w:r>
    </w:p>
    <w:p>
      <w:pPr>
        <w:jc w:val="center"/>
      </w:pPr>
      <w:r>
        <w:rPr>
          <w:i/>
          <w:color w:val="6B7280"/>
          <w:sz w:val="16"/>
        </w:rPr>
        <w:t>Figure 2 – Member Drill Through Report mock-up</w:t>
      </w:r>
    </w:p>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172554"/>
          </w:tcPr>
          <w:p>
            <w:pPr>
              <w:spacing w:after="0"/>
            </w:pPr>
            <w:r/>
            <w:r>
              <w:rPr>
                <w:rFonts w:ascii="Aptos" w:hAnsi="Aptos"/>
                <w:b/>
                <w:color w:val="FFFFFF"/>
                <w:sz w:val="17"/>
              </w:rPr>
              <w:t>Visible field / element</w:t>
            </w:r>
          </w:p>
        </w:tc>
        <w:tc>
          <w:tcPr>
            <w:tcW w:type="dxa" w:w="6912"/>
            <w:vAlign w:val="center"/>
            <w:shd w:fill="172554"/>
          </w:tcPr>
          <w:p>
            <w:pPr>
              <w:spacing w:after="0"/>
            </w:pPr>
            <w:r/>
            <w:r>
              <w:rPr>
                <w:rFonts w:ascii="Aptos" w:hAnsi="Aptos"/>
                <w:b/>
                <w:color w:val="FFFFFF"/>
                <w:sz w:val="17"/>
              </w:rPr>
              <w:t>Expected purpose</w:t>
            </w:r>
          </w:p>
        </w:tc>
      </w:tr>
      <w:tr>
        <w:tc>
          <w:tcPr>
            <w:tcW w:type="dxa" w:w="3024"/>
            <w:vAlign w:val="center"/>
          </w:tcPr>
          <w:p>
            <w:pPr>
              <w:spacing w:after="0"/>
            </w:pPr>
            <w:r/>
            <w:r>
              <w:rPr>
                <w:rFonts w:ascii="Aptos" w:hAnsi="Aptos"/>
                <w:b w:val="0"/>
                <w:color w:val="1F2937"/>
                <w:sz w:val="17"/>
              </w:rPr>
              <w:t>Account ID</w:t>
            </w:r>
          </w:p>
        </w:tc>
        <w:tc>
          <w:tcPr>
            <w:tcW w:type="dxa" w:w="6912"/>
            <w:vAlign w:val="center"/>
          </w:tcPr>
          <w:p>
            <w:pPr>
              <w:spacing w:after="0"/>
            </w:pPr>
            <w:r/>
            <w:r>
              <w:rPr>
                <w:rFonts w:ascii="Aptos" w:hAnsi="Aptos"/>
                <w:b w:val="0"/>
                <w:color w:val="1F2937"/>
                <w:sz w:val="17"/>
              </w:rPr>
              <w:t>Account-level identifier.</w:t>
            </w:r>
          </w:p>
        </w:tc>
      </w:tr>
      <w:tr>
        <w:tc>
          <w:tcPr>
            <w:tcW w:type="dxa" w:w="3024"/>
            <w:vAlign w:val="center"/>
          </w:tcPr>
          <w:p>
            <w:pPr>
              <w:spacing w:after="0"/>
            </w:pPr>
            <w:r/>
            <w:r>
              <w:rPr>
                <w:rFonts w:ascii="Aptos" w:hAnsi="Aptos"/>
                <w:b w:val="0"/>
                <w:color w:val="1F2937"/>
                <w:sz w:val="17"/>
              </w:rPr>
              <w:t>Member ID</w:t>
            </w:r>
          </w:p>
        </w:tc>
        <w:tc>
          <w:tcPr>
            <w:tcW w:type="dxa" w:w="6912"/>
            <w:vAlign w:val="center"/>
          </w:tcPr>
          <w:p>
            <w:pPr>
              <w:spacing w:after="0"/>
            </w:pPr>
            <w:r/>
            <w:r>
              <w:rPr>
                <w:rFonts w:ascii="Aptos" w:hAnsi="Aptos"/>
                <w:b w:val="0"/>
                <w:color w:val="1F2937"/>
                <w:sz w:val="17"/>
              </w:rPr>
              <w:t>Member-level identifier for traceability.</w:t>
            </w:r>
          </w:p>
        </w:tc>
      </w:tr>
      <w:tr>
        <w:tc>
          <w:tcPr>
            <w:tcW w:type="dxa" w:w="3024"/>
            <w:vAlign w:val="center"/>
          </w:tcPr>
          <w:p>
            <w:pPr>
              <w:spacing w:after="0"/>
            </w:pPr>
            <w:r/>
            <w:r>
              <w:rPr>
                <w:rFonts w:ascii="Aptos" w:hAnsi="Aptos"/>
                <w:b w:val="0"/>
                <w:color w:val="1F2937"/>
                <w:sz w:val="17"/>
              </w:rPr>
              <w:t>Fund ID / Sub-Plan</w:t>
            </w:r>
          </w:p>
        </w:tc>
        <w:tc>
          <w:tcPr>
            <w:tcW w:type="dxa" w:w="6912"/>
            <w:vAlign w:val="center"/>
          </w:tcPr>
          <w:p>
            <w:pPr>
              <w:spacing w:after="0"/>
            </w:pPr>
            <w:r/>
            <w:r>
              <w:rPr>
                <w:rFonts w:ascii="Aptos" w:hAnsi="Aptos"/>
                <w:b w:val="0"/>
                <w:color w:val="1F2937"/>
                <w:sz w:val="17"/>
              </w:rPr>
              <w:t>Fund and plan context.</w:t>
            </w:r>
          </w:p>
        </w:tc>
      </w:tr>
      <w:tr>
        <w:tc>
          <w:tcPr>
            <w:tcW w:type="dxa" w:w="3024"/>
            <w:vAlign w:val="center"/>
          </w:tcPr>
          <w:p>
            <w:pPr>
              <w:spacing w:after="0"/>
            </w:pPr>
            <w:r/>
            <w:r>
              <w:rPr>
                <w:rFonts w:ascii="Aptos" w:hAnsi="Aptos"/>
                <w:b w:val="0"/>
                <w:color w:val="1F2937"/>
                <w:sz w:val="17"/>
              </w:rPr>
              <w:t>Fund Join Date</w:t>
            </w:r>
          </w:p>
        </w:tc>
        <w:tc>
          <w:tcPr>
            <w:tcW w:type="dxa" w:w="6912"/>
            <w:vAlign w:val="center"/>
          </w:tcPr>
          <w:p>
            <w:pPr>
              <w:spacing w:after="0"/>
            </w:pPr>
            <w:r/>
            <w:r>
              <w:rPr>
                <w:rFonts w:ascii="Aptos" w:hAnsi="Aptos"/>
                <w:b w:val="0"/>
                <w:color w:val="1F2937"/>
                <w:sz w:val="17"/>
              </w:rPr>
              <w:t>Member/account joining information.</w:t>
            </w:r>
          </w:p>
        </w:tc>
      </w:tr>
      <w:tr>
        <w:tc>
          <w:tcPr>
            <w:tcW w:type="dxa" w:w="3024"/>
            <w:vAlign w:val="center"/>
          </w:tcPr>
          <w:p>
            <w:pPr>
              <w:spacing w:after="0"/>
            </w:pPr>
            <w:r/>
            <w:r>
              <w:rPr>
                <w:rFonts w:ascii="Aptos" w:hAnsi="Aptos"/>
                <w:b w:val="0"/>
                <w:color w:val="1F2937"/>
                <w:sz w:val="17"/>
              </w:rPr>
              <w:t>Employer Name</w:t>
            </w:r>
          </w:p>
        </w:tc>
        <w:tc>
          <w:tcPr>
            <w:tcW w:type="dxa" w:w="6912"/>
            <w:vAlign w:val="center"/>
          </w:tcPr>
          <w:p>
            <w:pPr>
              <w:spacing w:after="0"/>
            </w:pPr>
            <w:r/>
            <w:r>
              <w:rPr>
                <w:rFonts w:ascii="Aptos" w:hAnsi="Aptos"/>
                <w:b w:val="0"/>
                <w:color w:val="1F2937"/>
                <w:sz w:val="17"/>
              </w:rPr>
              <w:t>Employer context.</w:t>
            </w:r>
          </w:p>
        </w:tc>
      </w:tr>
      <w:tr>
        <w:tc>
          <w:tcPr>
            <w:tcW w:type="dxa" w:w="3024"/>
            <w:vAlign w:val="center"/>
          </w:tcPr>
          <w:p>
            <w:pPr>
              <w:spacing w:after="0"/>
            </w:pPr>
            <w:r/>
            <w:r>
              <w:rPr>
                <w:rFonts w:ascii="Aptos" w:hAnsi="Aptos"/>
                <w:b w:val="0"/>
                <w:color w:val="1F2937"/>
                <w:sz w:val="17"/>
              </w:rPr>
              <w:t>Gender / Age Band</w:t>
            </w:r>
          </w:p>
        </w:tc>
        <w:tc>
          <w:tcPr>
            <w:tcW w:type="dxa" w:w="6912"/>
            <w:vAlign w:val="center"/>
          </w:tcPr>
          <w:p>
            <w:pPr>
              <w:spacing w:after="0"/>
            </w:pPr>
            <w:r/>
            <w:r>
              <w:rPr>
                <w:rFonts w:ascii="Aptos" w:hAnsi="Aptos"/>
                <w:b w:val="0"/>
                <w:color w:val="1F2937"/>
                <w:sz w:val="17"/>
              </w:rPr>
              <w:t>Demographic segmentation.</w:t>
            </w:r>
          </w:p>
        </w:tc>
      </w:tr>
      <w:tr>
        <w:tc>
          <w:tcPr>
            <w:tcW w:type="dxa" w:w="3024"/>
            <w:vAlign w:val="center"/>
          </w:tcPr>
          <w:p>
            <w:pPr>
              <w:spacing w:after="0"/>
            </w:pPr>
            <w:r/>
            <w:r>
              <w:rPr>
                <w:rFonts w:ascii="Aptos" w:hAnsi="Aptos"/>
                <w:b w:val="0"/>
                <w:color w:val="1F2937"/>
                <w:sz w:val="17"/>
              </w:rPr>
              <w:t>FUM Band / Tenure Band</w:t>
            </w:r>
          </w:p>
        </w:tc>
        <w:tc>
          <w:tcPr>
            <w:tcW w:type="dxa" w:w="6912"/>
            <w:vAlign w:val="center"/>
          </w:tcPr>
          <w:p>
            <w:pPr>
              <w:spacing w:after="0"/>
            </w:pPr>
            <w:r/>
            <w:r>
              <w:rPr>
                <w:rFonts w:ascii="Aptos" w:hAnsi="Aptos"/>
                <w:b w:val="0"/>
                <w:color w:val="1F2937"/>
                <w:sz w:val="17"/>
              </w:rPr>
              <w:t>Financial and tenure segmentation.</w:t>
            </w:r>
          </w:p>
        </w:tc>
      </w:tr>
      <w:tr>
        <w:tc>
          <w:tcPr>
            <w:tcW w:type="dxa" w:w="3024"/>
            <w:vAlign w:val="center"/>
          </w:tcPr>
          <w:p>
            <w:pPr>
              <w:spacing w:after="0"/>
            </w:pPr>
            <w:r/>
            <w:r>
              <w:rPr>
                <w:rFonts w:ascii="Aptos" w:hAnsi="Aptos"/>
                <w:b w:val="0"/>
                <w:color w:val="1F2937"/>
                <w:sz w:val="17"/>
              </w:rPr>
              <w:t>Account Status / Account Type</w:t>
            </w:r>
          </w:p>
        </w:tc>
        <w:tc>
          <w:tcPr>
            <w:tcW w:type="dxa" w:w="6912"/>
            <w:vAlign w:val="center"/>
          </w:tcPr>
          <w:p>
            <w:pPr>
              <w:spacing w:after="0"/>
            </w:pPr>
            <w:r/>
            <w:r>
              <w:rPr>
                <w:rFonts w:ascii="Aptos" w:hAnsi="Aptos"/>
                <w:b w:val="0"/>
                <w:color w:val="1F2937"/>
                <w:sz w:val="17"/>
              </w:rPr>
              <w:t>Account classification and status.</w:t>
            </w:r>
          </w:p>
        </w:tc>
      </w:tr>
      <w:tr>
        <w:tc>
          <w:tcPr>
            <w:tcW w:type="dxa" w:w="3024"/>
            <w:vAlign w:val="center"/>
          </w:tcPr>
          <w:p>
            <w:pPr>
              <w:spacing w:after="0"/>
            </w:pPr>
            <w:r/>
            <w:r>
              <w:rPr>
                <w:rFonts w:ascii="Aptos" w:hAnsi="Aptos"/>
                <w:b w:val="0"/>
                <w:color w:val="1F2937"/>
                <w:sz w:val="17"/>
              </w:rPr>
              <w:t>Life Stage / Channel</w:t>
            </w:r>
          </w:p>
        </w:tc>
        <w:tc>
          <w:tcPr>
            <w:tcW w:type="dxa" w:w="6912"/>
            <w:vAlign w:val="center"/>
          </w:tcPr>
          <w:p>
            <w:pPr>
              <w:spacing w:after="0"/>
            </w:pPr>
            <w:r/>
            <w:r>
              <w:rPr>
                <w:rFonts w:ascii="Aptos" w:hAnsi="Aptos"/>
                <w:b w:val="0"/>
                <w:color w:val="1F2937"/>
                <w:sz w:val="17"/>
              </w:rPr>
              <w:t>Business segmentation.</w:t>
            </w:r>
          </w:p>
        </w:tc>
      </w:tr>
      <w:tr>
        <w:tc>
          <w:tcPr>
            <w:tcW w:type="dxa" w:w="3024"/>
            <w:vAlign w:val="center"/>
          </w:tcPr>
          <w:p>
            <w:pPr>
              <w:spacing w:after="0"/>
            </w:pPr>
            <w:r/>
            <w:r>
              <w:rPr>
                <w:rFonts w:ascii="Aptos" w:hAnsi="Aptos"/>
                <w:b w:val="0"/>
                <w:color w:val="1F2937"/>
                <w:sz w:val="17"/>
              </w:rPr>
              <w:t>Category / Account Source</w:t>
            </w:r>
          </w:p>
        </w:tc>
        <w:tc>
          <w:tcPr>
            <w:tcW w:type="dxa" w:w="6912"/>
            <w:vAlign w:val="center"/>
          </w:tcPr>
          <w:p>
            <w:pPr>
              <w:spacing w:after="0"/>
            </w:pPr>
            <w:r/>
            <w:r>
              <w:rPr>
                <w:rFonts w:ascii="Aptos" w:hAnsi="Aptos"/>
                <w:b w:val="0"/>
                <w:color w:val="1F2937"/>
                <w:sz w:val="17"/>
              </w:rPr>
              <w:t>Additional classification shown in mock-up.</w:t>
            </w:r>
          </w:p>
        </w:tc>
      </w:tr>
      <w:tr>
        <w:tc>
          <w:tcPr>
            <w:tcW w:type="dxa" w:w="3024"/>
            <w:vAlign w:val="center"/>
          </w:tcPr>
          <w:p>
            <w:pPr>
              <w:spacing w:after="0"/>
            </w:pPr>
            <w:r/>
            <w:r>
              <w:rPr>
                <w:rFonts w:ascii="Aptos" w:hAnsi="Aptos"/>
                <w:b w:val="0"/>
                <w:color w:val="1F2937"/>
                <w:sz w:val="17"/>
              </w:rPr>
              <w:t>Pagination</w:t>
            </w:r>
          </w:p>
        </w:tc>
        <w:tc>
          <w:tcPr>
            <w:tcW w:type="dxa" w:w="6912"/>
            <w:vAlign w:val="center"/>
          </w:tcPr>
          <w:p>
            <w:pPr>
              <w:spacing w:after="0"/>
            </w:pPr>
            <w:r/>
            <w:r>
              <w:rPr>
                <w:rFonts w:ascii="Aptos" w:hAnsi="Aptos"/>
                <w:b w:val="0"/>
                <w:color w:val="1F2937"/>
                <w:sz w:val="17"/>
              </w:rPr>
              <w:t>Paginated member-level records.</w:t>
            </w:r>
          </w:p>
        </w:tc>
      </w:tr>
      <w:tr>
        <w:tc>
          <w:tcPr>
            <w:tcW w:type="dxa" w:w="3024"/>
            <w:vAlign w:val="center"/>
          </w:tcPr>
          <w:p>
            <w:pPr>
              <w:spacing w:after="0"/>
            </w:pPr>
            <w:r/>
            <w:r>
              <w:rPr>
                <w:rFonts w:ascii="Aptos" w:hAnsi="Aptos"/>
                <w:b w:val="0"/>
                <w:color w:val="1F2937"/>
                <w:sz w:val="17"/>
              </w:rPr>
              <w:t>Back to Dashboard</w:t>
            </w:r>
          </w:p>
        </w:tc>
        <w:tc>
          <w:tcPr>
            <w:tcW w:type="dxa" w:w="6912"/>
            <w:vAlign w:val="center"/>
          </w:tcPr>
          <w:p>
            <w:pPr>
              <w:spacing w:after="0"/>
            </w:pPr>
            <w:r/>
            <w:r>
              <w:rPr>
                <w:rFonts w:ascii="Aptos" w:hAnsi="Aptos"/>
                <w:b w:val="0"/>
                <w:color w:val="1F2937"/>
                <w:sz w:val="17"/>
              </w:rPr>
              <w:t>Navigation to originating dashboard.</w:t>
            </w:r>
          </w:p>
        </w:tc>
      </w:tr>
    </w:tbl>
    <w:p>
      <w:pPr>
        <w:spacing w:after="20"/>
      </w:pPr>
    </w:p>
    <w:p>
      <w:pPr>
        <w:pStyle w:val="Heading2"/>
      </w:pPr>
      <w:r>
        <w:t>7.3 BD4 – Retention Modelling Core Metrics</w:t>
      </w:r>
    </w:p>
    <w:p>
      <w:pPr>
        <w:jc w:val="center"/>
      </w:pPr>
      <w:r>
        <w:drawing>
          <wp:inline xmlns:a="http://schemas.openxmlformats.org/drawingml/2006/main" xmlns:pic="http://schemas.openxmlformats.org/drawingml/2006/picture">
            <wp:extent cx="5989320" cy="3129114"/>
            <wp:docPr id="3" name="Picture 3"/>
            <wp:cNvGraphicFramePr>
              <a:graphicFrameLocks noChangeAspect="1"/>
            </wp:cNvGraphicFramePr>
            <a:graphic>
              <a:graphicData uri="http://schemas.openxmlformats.org/drawingml/2006/picture">
                <pic:pic>
                  <pic:nvPicPr>
                    <pic:cNvPr id="0" name="8b4c31dc-af98-4f06-83f5-c2bc6190d5ce.png"/>
                    <pic:cNvPicPr/>
                  </pic:nvPicPr>
                  <pic:blipFill>
                    <a:blip r:embed="rId11"/>
                    <a:stretch>
                      <a:fillRect/>
                    </a:stretch>
                  </pic:blipFill>
                  <pic:spPr>
                    <a:xfrm>
                      <a:off x="0" y="0"/>
                      <a:ext cx="5989320" cy="3129114"/>
                    </a:xfrm>
                    <a:prstGeom prst="rect"/>
                  </pic:spPr>
                </pic:pic>
              </a:graphicData>
            </a:graphic>
          </wp:inline>
        </w:drawing>
      </w:r>
    </w:p>
    <w:p>
      <w:pPr>
        <w:jc w:val="center"/>
      </w:pPr>
      <w:r>
        <w:rPr>
          <w:i/>
          <w:color w:val="6B7280"/>
          <w:sz w:val="16"/>
        </w:rPr>
        <w:t>Figure 3 – BD4 Retention Modelling Core Metrics mock-up</w:t>
      </w:r>
    </w:p>
    <w:p/>
    <w:p>
      <w:pPr>
        <w:pStyle w:val="ListBullet"/>
        <w:spacing w:after="30"/>
        <w:ind w:left="288"/>
      </w:pPr>
      <w:r>
        <w:t>Six core KPI cards are shown: Member Retention Rate, FUM Retention Rate, Exit Rate, Net Rollover Ratio, Active Members and CSAT Score.</w:t>
      </w:r>
    </w:p>
    <w:p>
      <w:pPr>
        <w:pStyle w:val="ListBullet"/>
        <w:spacing w:after="30"/>
        <w:ind w:left="288"/>
      </w:pPr>
      <w:r>
        <w:t>Separate Member Retention and FUM Retention trend visuals are shown.</w:t>
      </w:r>
    </w:p>
    <w:p>
      <w:pPr>
        <w:pStyle w:val="ListBullet"/>
        <w:spacing w:after="30"/>
        <w:ind w:left="288"/>
      </w:pPr>
      <w:r>
        <w:t>A month selector is provided on the right-hand side.</w:t>
      </w:r>
    </w:p>
    <w:p>
      <w:pPr>
        <w:pStyle w:val="ListBullet"/>
        <w:spacing w:after="30"/>
        <w:ind w:left="288"/>
      </w:pPr>
      <w:r>
        <w:t>The final dashboard should use the approved metric definitions from the formal FRS/BRS.</w:t>
      </w:r>
    </w:p>
    <w:p>
      <w:pPr>
        <w:pStyle w:val="Heading2"/>
      </w:pPr>
      <w:r>
        <w:t>7.4 Member Behavioral Dashboard – Planned Specification</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72554"/>
          </w:tcPr>
          <w:p>
            <w:pPr>
              <w:spacing w:after="0"/>
            </w:pPr>
            <w:r/>
            <w:r>
              <w:rPr>
                <w:rFonts w:ascii="Aptos" w:hAnsi="Aptos"/>
                <w:b/>
                <w:color w:val="FFFFFF"/>
                <w:sz w:val="17"/>
              </w:rPr>
              <w:t>Area</w:t>
            </w:r>
          </w:p>
        </w:tc>
        <w:tc>
          <w:tcPr>
            <w:tcW w:type="dxa" w:w="7056"/>
            <w:vAlign w:val="center"/>
            <w:shd w:fill="172554"/>
          </w:tcPr>
          <w:p>
            <w:pPr>
              <w:spacing w:after="0"/>
            </w:pPr>
            <w:r/>
            <w:r>
              <w:rPr>
                <w:rFonts w:ascii="Aptos" w:hAnsi="Aptos"/>
                <w:b/>
                <w:color w:val="FFFFFF"/>
                <w:sz w:val="17"/>
              </w:rPr>
              <w:t>Expected focus</w:t>
            </w:r>
          </w:p>
        </w:tc>
      </w:tr>
      <w:tr>
        <w:tc>
          <w:tcPr>
            <w:tcW w:type="dxa" w:w="2880"/>
            <w:vAlign w:val="center"/>
          </w:tcPr>
          <w:p>
            <w:pPr>
              <w:spacing w:after="0"/>
            </w:pPr>
            <w:r/>
            <w:r>
              <w:rPr>
                <w:rFonts w:ascii="Aptos" w:hAnsi="Aptos"/>
                <w:b w:val="0"/>
                <w:color w:val="1F2937"/>
                <w:sz w:val="17"/>
              </w:rPr>
              <w:t>Behavioural indicators</w:t>
            </w:r>
          </w:p>
        </w:tc>
        <w:tc>
          <w:tcPr>
            <w:tcW w:type="dxa" w:w="7056"/>
            <w:vAlign w:val="center"/>
          </w:tcPr>
          <w:p>
            <w:pPr>
              <w:spacing w:after="0"/>
            </w:pPr>
            <w:r/>
            <w:r>
              <w:rPr>
                <w:rFonts w:ascii="Aptos" w:hAnsi="Aptos"/>
                <w:b w:val="0"/>
                <w:color w:val="1F2937"/>
                <w:sz w:val="17"/>
              </w:rPr>
              <w:t>Login/activity, advice usage, insurance, beneficiary and inactivity-related indicators where approved.</w:t>
            </w:r>
          </w:p>
        </w:tc>
      </w:tr>
      <w:tr>
        <w:tc>
          <w:tcPr>
            <w:tcW w:type="dxa" w:w="2880"/>
            <w:vAlign w:val="center"/>
          </w:tcPr>
          <w:p>
            <w:pPr>
              <w:spacing w:after="0"/>
            </w:pPr>
            <w:r/>
            <w:r>
              <w:rPr>
                <w:rFonts w:ascii="Aptos" w:hAnsi="Aptos"/>
                <w:b w:val="0"/>
                <w:color w:val="1F2937"/>
                <w:sz w:val="17"/>
              </w:rPr>
              <w:t>Segmentation</w:t>
            </w:r>
          </w:p>
        </w:tc>
        <w:tc>
          <w:tcPr>
            <w:tcW w:type="dxa" w:w="7056"/>
            <w:vAlign w:val="center"/>
          </w:tcPr>
          <w:p>
            <w:pPr>
              <w:spacing w:after="0"/>
            </w:pPr>
            <w:r/>
            <w:r>
              <w:rPr>
                <w:rFonts w:ascii="Aptos" w:hAnsi="Aptos"/>
                <w:b w:val="0"/>
                <w:color w:val="1F2937"/>
                <w:sz w:val="17"/>
              </w:rPr>
              <w:t>Behavioural groups and retention/churn-risk segments.</w:t>
            </w:r>
          </w:p>
        </w:tc>
      </w:tr>
      <w:tr>
        <w:tc>
          <w:tcPr>
            <w:tcW w:type="dxa" w:w="2880"/>
            <w:vAlign w:val="center"/>
          </w:tcPr>
          <w:p>
            <w:pPr>
              <w:spacing w:after="0"/>
            </w:pPr>
            <w:r/>
            <w:r>
              <w:rPr>
                <w:rFonts w:ascii="Aptos" w:hAnsi="Aptos"/>
                <w:b w:val="0"/>
                <w:color w:val="1F2937"/>
                <w:sz w:val="17"/>
              </w:rPr>
              <w:t>Relationship analysis</w:t>
            </w:r>
          </w:p>
        </w:tc>
        <w:tc>
          <w:tcPr>
            <w:tcW w:type="dxa" w:w="7056"/>
            <w:vAlign w:val="center"/>
          </w:tcPr>
          <w:p>
            <w:pPr>
              <w:spacing w:after="0"/>
            </w:pPr>
            <w:r/>
            <w:r>
              <w:rPr>
                <w:rFonts w:ascii="Aptos" w:hAnsi="Aptos"/>
                <w:b w:val="0"/>
                <w:color w:val="1F2937"/>
                <w:sz w:val="17"/>
              </w:rPr>
              <w:t>Show how behaviour is associated with retention or churn risk.</w:t>
            </w:r>
          </w:p>
        </w:tc>
      </w:tr>
      <w:tr>
        <w:tc>
          <w:tcPr>
            <w:tcW w:type="dxa" w:w="2880"/>
            <w:vAlign w:val="center"/>
          </w:tcPr>
          <w:p>
            <w:pPr>
              <w:spacing w:after="0"/>
            </w:pPr>
            <w:r/>
            <w:r>
              <w:rPr>
                <w:rFonts w:ascii="Aptos" w:hAnsi="Aptos"/>
                <w:b w:val="0"/>
                <w:color w:val="1F2937"/>
                <w:sz w:val="17"/>
              </w:rPr>
              <w:t>Drill-through</w:t>
            </w:r>
          </w:p>
        </w:tc>
        <w:tc>
          <w:tcPr>
            <w:tcW w:type="dxa" w:w="7056"/>
            <w:vAlign w:val="center"/>
          </w:tcPr>
          <w:p>
            <w:pPr>
              <w:spacing w:after="0"/>
            </w:pPr>
            <w:r/>
            <w:r>
              <w:rPr>
                <w:rFonts w:ascii="Aptos" w:hAnsi="Aptos"/>
                <w:b w:val="0"/>
                <w:color w:val="1F2937"/>
                <w:sz w:val="17"/>
              </w:rPr>
              <w:t>Support investigation of members behind behavioural/risk patterns where applicable.</w:t>
            </w:r>
          </w:p>
        </w:tc>
      </w:tr>
    </w:tbl>
    <w:p>
      <w:pPr>
        <w:spacing w:after="20"/>
      </w:pPr>
    </w:p>
    <w:tbl>
      <w:tblPr>
        <w:tblW w:type="auto" w:w="0"/>
        <w:tblLook w:firstColumn="1" w:firstRow="1" w:lastColumn="0" w:lastRow="0" w:noHBand="0" w:noVBand="1" w:val="04A0"/>
      </w:tblPr>
      <w:tblGrid>
        <w:gridCol w:w="10368"/>
      </w:tblGrid>
      <w:tr>
        <w:tc>
          <w:tcPr>
            <w:tcW w:type="dxa" w:w="10368"/>
            <w:shd w:fill="EEF4FF"/>
            <w:vAlign w:val="center"/>
          </w:tcPr>
          <w:p>
            <w:pPr>
              <w:spacing w:after="0"/>
            </w:pPr>
            <w:r/>
            <w:r>
              <w:rPr>
                <w:rFonts w:ascii="Aptos" w:hAnsi="Aptos"/>
                <w:b w:val="0"/>
                <w:color w:val="172554"/>
                <w:sz w:val="17"/>
              </w:rPr>
              <w:t>No final Member Behavioral Dashboard mock-up was supplied in the screenshots. The above is therefore a scope-level specification and should be updated when the approved mock-up is available.</w:t>
            </w:r>
          </w:p>
        </w:tc>
      </w:tr>
    </w:tbl>
    <w:p/>
    <w:p>
      <w:pPr>
        <w:pStyle w:val="Heading2"/>
      </w:pPr>
      <w:r>
        <w:t>7.5 Rollover Dashboard – Planned Specification</w:t>
      </w:r>
    </w:p>
    <w:p>
      <w:r>
        <w:t>The Rollover Dashboard is identified in the Confluence scope. Detailed visual specifications should be added after the approved rollover mock-up and business requirements are available.</w:t>
      </w:r>
    </w:p>
    <w:p>
      <w:pPr>
        <w:pStyle w:val="Heading1"/>
      </w:pPr>
      <w:r>
        <w:t>8. User Acceptance Criteria</w:t>
      </w:r>
    </w:p>
    <w:tbl>
      <w:tblPr>
        <w:tblStyle w:val="TableGrid"/>
        <w:tblW w:type="auto" w:w="0"/>
        <w:jc w:val="center"/>
        <w:tblLook w:firstColumn="1" w:firstRow="1" w:lastColumn="0" w:lastRow="0" w:noHBand="0" w:noVBand="1" w:val="04A0"/>
      </w:tblPr>
      <w:tblGrid>
        <w:gridCol w:w="5184"/>
        <w:gridCol w:w="5184"/>
      </w:tblGrid>
      <w:tr>
        <w:tc>
          <w:tcPr>
            <w:tcW w:type="dxa" w:w="1152"/>
            <w:vAlign w:val="center"/>
            <w:shd w:fill="172554"/>
          </w:tcPr>
          <w:p>
            <w:pPr>
              <w:spacing w:after="0"/>
            </w:pPr>
            <w:r/>
            <w:r>
              <w:rPr>
                <w:rFonts w:ascii="Aptos" w:hAnsi="Aptos"/>
                <w:b/>
                <w:color w:val="FFFFFF"/>
                <w:sz w:val="17"/>
              </w:rPr>
              <w:t>ID</w:t>
            </w:r>
          </w:p>
        </w:tc>
        <w:tc>
          <w:tcPr>
            <w:tcW w:type="dxa" w:w="8784"/>
            <w:vAlign w:val="center"/>
            <w:shd w:fill="172554"/>
          </w:tcPr>
          <w:p>
            <w:pPr>
              <w:spacing w:after="0"/>
            </w:pPr>
            <w:r/>
            <w:r>
              <w:rPr>
                <w:rFonts w:ascii="Aptos" w:hAnsi="Aptos"/>
                <w:b/>
                <w:color w:val="FFFFFF"/>
                <w:sz w:val="17"/>
              </w:rPr>
              <w:t>Acceptance criterion</w:t>
            </w:r>
          </w:p>
        </w:tc>
      </w:tr>
      <w:tr>
        <w:tc>
          <w:tcPr>
            <w:tcW w:type="dxa" w:w="1152"/>
            <w:vAlign w:val="center"/>
          </w:tcPr>
          <w:p>
            <w:pPr>
              <w:spacing w:after="0"/>
            </w:pPr>
            <w:r/>
            <w:r>
              <w:rPr>
                <w:rFonts w:ascii="Aptos" w:hAnsi="Aptos"/>
                <w:b w:val="0"/>
                <w:color w:val="1F2937"/>
                <w:sz w:val="17"/>
              </w:rPr>
              <w:t>UAC-01</w:t>
            </w:r>
          </w:p>
        </w:tc>
        <w:tc>
          <w:tcPr>
            <w:tcW w:type="dxa" w:w="8784"/>
            <w:vAlign w:val="center"/>
          </w:tcPr>
          <w:p>
            <w:pPr>
              <w:spacing w:after="0"/>
            </w:pPr>
            <w:r/>
            <w:r>
              <w:rPr>
                <w:rFonts w:ascii="Aptos" w:hAnsi="Aptos"/>
                <w:b w:val="0"/>
                <w:color w:val="1F2937"/>
                <w:sz w:val="17"/>
              </w:rPr>
              <w:t>Dashboard displays the approved retention KPIs and reporting period.</w:t>
            </w:r>
          </w:p>
        </w:tc>
      </w:tr>
      <w:tr>
        <w:tc>
          <w:tcPr>
            <w:tcW w:type="dxa" w:w="1152"/>
            <w:vAlign w:val="center"/>
          </w:tcPr>
          <w:p>
            <w:pPr>
              <w:spacing w:after="0"/>
            </w:pPr>
            <w:r/>
            <w:r>
              <w:rPr>
                <w:rFonts w:ascii="Aptos" w:hAnsi="Aptos"/>
                <w:b w:val="0"/>
                <w:color w:val="1F2937"/>
                <w:sz w:val="17"/>
              </w:rPr>
              <w:t>UAC-02</w:t>
            </w:r>
          </w:p>
        </w:tc>
        <w:tc>
          <w:tcPr>
            <w:tcW w:type="dxa" w:w="8784"/>
            <w:vAlign w:val="center"/>
          </w:tcPr>
          <w:p>
            <w:pPr>
              <w:spacing w:after="0"/>
            </w:pPr>
            <w:r/>
            <w:r>
              <w:rPr>
                <w:rFonts w:ascii="Aptos" w:hAnsi="Aptos"/>
                <w:b w:val="0"/>
                <w:color w:val="1F2937"/>
                <w:sz w:val="17"/>
              </w:rPr>
              <w:t>Dashboard filters update the applicable KPIs and visuals correctly.</w:t>
            </w:r>
          </w:p>
        </w:tc>
      </w:tr>
      <w:tr>
        <w:tc>
          <w:tcPr>
            <w:tcW w:type="dxa" w:w="1152"/>
            <w:vAlign w:val="center"/>
          </w:tcPr>
          <w:p>
            <w:pPr>
              <w:spacing w:after="0"/>
            </w:pPr>
            <w:r/>
            <w:r>
              <w:rPr>
                <w:rFonts w:ascii="Aptos" w:hAnsi="Aptos"/>
                <w:b w:val="0"/>
                <w:color w:val="1F2937"/>
                <w:sz w:val="17"/>
              </w:rPr>
              <w:t>UAC-03</w:t>
            </w:r>
          </w:p>
        </w:tc>
        <w:tc>
          <w:tcPr>
            <w:tcW w:type="dxa" w:w="8784"/>
            <w:vAlign w:val="center"/>
          </w:tcPr>
          <w:p>
            <w:pPr>
              <w:spacing w:after="0"/>
            </w:pPr>
            <w:r/>
            <w:r>
              <w:rPr>
                <w:rFonts w:ascii="Aptos" w:hAnsi="Aptos"/>
                <w:b w:val="0"/>
                <w:color w:val="1F2937"/>
                <w:sz w:val="17"/>
              </w:rPr>
              <w:t>Retention trends display the expected historical periods and values.</w:t>
            </w:r>
          </w:p>
        </w:tc>
      </w:tr>
      <w:tr>
        <w:tc>
          <w:tcPr>
            <w:tcW w:type="dxa" w:w="1152"/>
            <w:vAlign w:val="center"/>
          </w:tcPr>
          <w:p>
            <w:pPr>
              <w:spacing w:after="0"/>
            </w:pPr>
            <w:r/>
            <w:r>
              <w:rPr>
                <w:rFonts w:ascii="Aptos" w:hAnsi="Aptos"/>
                <w:b w:val="0"/>
                <w:color w:val="1F2937"/>
                <w:sz w:val="17"/>
              </w:rPr>
              <w:t>UAC-04</w:t>
            </w:r>
          </w:p>
        </w:tc>
        <w:tc>
          <w:tcPr>
            <w:tcW w:type="dxa" w:w="8784"/>
            <w:vAlign w:val="center"/>
          </w:tcPr>
          <w:p>
            <w:pPr>
              <w:spacing w:after="0"/>
            </w:pPr>
            <w:r/>
            <w:r>
              <w:rPr>
                <w:rFonts w:ascii="Aptos" w:hAnsi="Aptos"/>
                <w:b w:val="0"/>
                <w:color w:val="1F2937"/>
                <w:sz w:val="17"/>
              </w:rPr>
              <w:t>Member movements correctly distinguish new, exited and net movement.</w:t>
            </w:r>
          </w:p>
        </w:tc>
      </w:tr>
      <w:tr>
        <w:tc>
          <w:tcPr>
            <w:tcW w:type="dxa" w:w="1152"/>
            <w:vAlign w:val="center"/>
          </w:tcPr>
          <w:p>
            <w:pPr>
              <w:spacing w:after="0"/>
            </w:pPr>
            <w:r/>
            <w:r>
              <w:rPr>
                <w:rFonts w:ascii="Aptos" w:hAnsi="Aptos"/>
                <w:b w:val="0"/>
                <w:color w:val="1F2937"/>
                <w:sz w:val="17"/>
              </w:rPr>
              <w:t>UAC-05</w:t>
            </w:r>
          </w:p>
        </w:tc>
        <w:tc>
          <w:tcPr>
            <w:tcW w:type="dxa" w:w="8784"/>
            <w:vAlign w:val="center"/>
          </w:tcPr>
          <w:p>
            <w:pPr>
              <w:spacing w:after="0"/>
            </w:pPr>
            <w:r/>
            <w:r>
              <w:rPr>
                <w:rFonts w:ascii="Aptos" w:hAnsi="Aptos"/>
                <w:b w:val="0"/>
                <w:color w:val="1F2937"/>
                <w:sz w:val="17"/>
              </w:rPr>
              <w:t>Churn risk distribution correctly reflects approved risk categories.</w:t>
            </w:r>
          </w:p>
        </w:tc>
      </w:tr>
      <w:tr>
        <w:tc>
          <w:tcPr>
            <w:tcW w:type="dxa" w:w="1152"/>
            <w:vAlign w:val="center"/>
          </w:tcPr>
          <w:p>
            <w:pPr>
              <w:spacing w:after="0"/>
            </w:pPr>
            <w:r/>
            <w:r>
              <w:rPr>
                <w:rFonts w:ascii="Aptos" w:hAnsi="Aptos"/>
                <w:b w:val="0"/>
                <w:color w:val="1F2937"/>
                <w:sz w:val="17"/>
              </w:rPr>
              <w:t>UAC-06</w:t>
            </w:r>
          </w:p>
        </w:tc>
        <w:tc>
          <w:tcPr>
            <w:tcW w:type="dxa" w:w="8784"/>
            <w:vAlign w:val="center"/>
          </w:tcPr>
          <w:p>
            <w:pPr>
              <w:spacing w:after="0"/>
            </w:pPr>
            <w:r/>
            <w:r>
              <w:rPr>
                <w:rFonts w:ascii="Aptos" w:hAnsi="Aptos"/>
                <w:b w:val="0"/>
                <w:color w:val="1F2937"/>
                <w:sz w:val="17"/>
              </w:rPr>
              <w:t>Top churn drivers are displayed using the approved driver output.</w:t>
            </w:r>
          </w:p>
        </w:tc>
      </w:tr>
      <w:tr>
        <w:tc>
          <w:tcPr>
            <w:tcW w:type="dxa" w:w="1152"/>
            <w:vAlign w:val="center"/>
          </w:tcPr>
          <w:p>
            <w:pPr>
              <w:spacing w:after="0"/>
            </w:pPr>
            <w:r/>
            <w:r>
              <w:rPr>
                <w:rFonts w:ascii="Aptos" w:hAnsi="Aptos"/>
                <w:b w:val="0"/>
                <w:color w:val="1F2937"/>
                <w:sz w:val="17"/>
              </w:rPr>
              <w:t>UAC-07</w:t>
            </w:r>
          </w:p>
        </w:tc>
        <w:tc>
          <w:tcPr>
            <w:tcW w:type="dxa" w:w="8784"/>
            <w:vAlign w:val="center"/>
          </w:tcPr>
          <w:p>
            <w:pPr>
              <w:spacing w:after="0"/>
            </w:pPr>
            <w:r/>
            <w:r>
              <w:rPr>
                <w:rFonts w:ascii="Aptos" w:hAnsi="Aptos"/>
                <w:b w:val="0"/>
                <w:color w:val="1F2937"/>
                <w:sz w:val="17"/>
              </w:rPr>
              <w:t>FUM inflow/outflow and cashflow visuals reconcile to approved reporting data.</w:t>
            </w:r>
          </w:p>
        </w:tc>
      </w:tr>
      <w:tr>
        <w:tc>
          <w:tcPr>
            <w:tcW w:type="dxa" w:w="1152"/>
            <w:vAlign w:val="center"/>
          </w:tcPr>
          <w:p>
            <w:pPr>
              <w:spacing w:after="0"/>
            </w:pPr>
            <w:r/>
            <w:r>
              <w:rPr>
                <w:rFonts w:ascii="Aptos" w:hAnsi="Aptos"/>
                <w:b w:val="0"/>
                <w:color w:val="1F2937"/>
                <w:sz w:val="17"/>
              </w:rPr>
              <w:t>UAC-08</w:t>
            </w:r>
          </w:p>
        </w:tc>
        <w:tc>
          <w:tcPr>
            <w:tcW w:type="dxa" w:w="8784"/>
            <w:vAlign w:val="center"/>
          </w:tcPr>
          <w:p>
            <w:pPr>
              <w:spacing w:after="0"/>
            </w:pPr>
            <w:r/>
            <w:r>
              <w:rPr>
                <w:rFonts w:ascii="Aptos" w:hAnsi="Aptos"/>
                <w:b w:val="0"/>
                <w:color w:val="1F2937"/>
                <w:sz w:val="17"/>
              </w:rPr>
              <w:t>Drill-through opens the member-level report with the expected filter context.</w:t>
            </w:r>
          </w:p>
        </w:tc>
      </w:tr>
      <w:tr>
        <w:tc>
          <w:tcPr>
            <w:tcW w:type="dxa" w:w="1152"/>
            <w:vAlign w:val="center"/>
          </w:tcPr>
          <w:p>
            <w:pPr>
              <w:spacing w:after="0"/>
            </w:pPr>
            <w:r/>
            <w:r>
              <w:rPr>
                <w:rFonts w:ascii="Aptos" w:hAnsi="Aptos"/>
                <w:b w:val="0"/>
                <w:color w:val="1F2937"/>
                <w:sz w:val="17"/>
              </w:rPr>
              <w:t>UAC-09</w:t>
            </w:r>
          </w:p>
        </w:tc>
        <w:tc>
          <w:tcPr>
            <w:tcW w:type="dxa" w:w="8784"/>
            <w:vAlign w:val="center"/>
          </w:tcPr>
          <w:p>
            <w:pPr>
              <w:spacing w:after="0"/>
            </w:pPr>
            <w:r/>
            <w:r>
              <w:rPr>
                <w:rFonts w:ascii="Aptos" w:hAnsi="Aptos"/>
                <w:b w:val="0"/>
                <w:color w:val="1F2937"/>
                <w:sz w:val="17"/>
              </w:rPr>
              <w:t>Member-level report displays the approved detail fields and navigation.</w:t>
            </w:r>
          </w:p>
        </w:tc>
      </w:tr>
      <w:tr>
        <w:tc>
          <w:tcPr>
            <w:tcW w:type="dxa" w:w="1152"/>
            <w:vAlign w:val="center"/>
          </w:tcPr>
          <w:p>
            <w:pPr>
              <w:spacing w:after="0"/>
            </w:pPr>
            <w:r/>
            <w:r>
              <w:rPr>
                <w:rFonts w:ascii="Aptos" w:hAnsi="Aptos"/>
                <w:b w:val="0"/>
                <w:color w:val="1F2937"/>
                <w:sz w:val="17"/>
              </w:rPr>
              <w:t>UAC-10</w:t>
            </w:r>
          </w:p>
        </w:tc>
        <w:tc>
          <w:tcPr>
            <w:tcW w:type="dxa" w:w="8784"/>
            <w:vAlign w:val="center"/>
          </w:tcPr>
          <w:p>
            <w:pPr>
              <w:spacing w:after="0"/>
            </w:pPr>
            <w:r/>
            <w:r>
              <w:rPr>
                <w:rFonts w:ascii="Aptos" w:hAnsi="Aptos"/>
                <w:b w:val="0"/>
                <w:color w:val="1F2937"/>
                <w:sz w:val="17"/>
              </w:rPr>
              <w:t>Dashboard results reconcile with the approved source/reporting output.</w:t>
            </w:r>
          </w:p>
        </w:tc>
      </w:tr>
      <w:tr>
        <w:tc>
          <w:tcPr>
            <w:tcW w:type="dxa" w:w="1152"/>
            <w:vAlign w:val="center"/>
          </w:tcPr>
          <w:p>
            <w:pPr>
              <w:spacing w:after="0"/>
            </w:pPr>
            <w:r/>
            <w:r>
              <w:rPr>
                <w:rFonts w:ascii="Aptos" w:hAnsi="Aptos"/>
                <w:b w:val="0"/>
                <w:color w:val="1F2937"/>
                <w:sz w:val="17"/>
              </w:rPr>
              <w:t>UAC-11</w:t>
            </w:r>
          </w:p>
        </w:tc>
        <w:tc>
          <w:tcPr>
            <w:tcW w:type="dxa" w:w="8784"/>
            <w:vAlign w:val="center"/>
          </w:tcPr>
          <w:p>
            <w:pPr>
              <w:spacing w:after="0"/>
            </w:pPr>
            <w:r/>
            <w:r>
              <w:rPr>
                <w:rFonts w:ascii="Aptos" w:hAnsi="Aptos"/>
                <w:b w:val="0"/>
                <w:color w:val="1F2937"/>
                <w:sz w:val="17"/>
              </w:rPr>
              <w:t>BD4 metrics match the approved retention metric definitions.</w:t>
            </w:r>
          </w:p>
        </w:tc>
      </w:tr>
      <w:tr>
        <w:tc>
          <w:tcPr>
            <w:tcW w:type="dxa" w:w="1152"/>
            <w:vAlign w:val="center"/>
          </w:tcPr>
          <w:p>
            <w:pPr>
              <w:spacing w:after="0"/>
            </w:pPr>
            <w:r/>
            <w:r>
              <w:rPr>
                <w:rFonts w:ascii="Aptos" w:hAnsi="Aptos"/>
                <w:b w:val="0"/>
                <w:color w:val="1F2937"/>
                <w:sz w:val="17"/>
              </w:rPr>
              <w:t>UAC-12</w:t>
            </w:r>
          </w:p>
        </w:tc>
        <w:tc>
          <w:tcPr>
            <w:tcW w:type="dxa" w:w="8784"/>
            <w:vAlign w:val="center"/>
          </w:tcPr>
          <w:p>
            <w:pPr>
              <w:spacing w:after="0"/>
            </w:pPr>
            <w:r/>
            <w:r>
              <w:rPr>
                <w:rFonts w:ascii="Aptos" w:hAnsi="Aptos"/>
                <w:b w:val="0"/>
                <w:color w:val="1F2937"/>
                <w:sz w:val="17"/>
              </w:rPr>
              <w:t>Visual formatting, labels and navigation are consistent with the approved design.</w:t>
            </w:r>
          </w:p>
        </w:tc>
      </w:tr>
    </w:tbl>
    <w:p>
      <w:pPr>
        <w:spacing w:after="20"/>
      </w:pPr>
    </w:p>
    <w:p>
      <w:pPr>
        <w:pStyle w:val="Heading1"/>
      </w:pPr>
      <w:r>
        <w:t>9. Security &amp; Compliance</w:t>
      </w:r>
    </w:p>
    <w:p>
      <w:r>
        <w:t>Detailed security and compliance requirements remain subject to project confirmation.</w:t>
      </w:r>
    </w:p>
    <w:p>
      <w:pPr>
        <w:pStyle w:val="ListBullet"/>
        <w:spacing w:after="30"/>
        <w:ind w:left="288"/>
      </w:pPr>
      <w:r>
        <w:t>Data Security: Apply approved corporate data-security controls.</w:t>
      </w:r>
    </w:p>
    <w:p>
      <w:pPr>
        <w:pStyle w:val="ListBullet"/>
        <w:spacing w:after="30"/>
        <w:ind w:left="288"/>
      </w:pPr>
      <w:r>
        <w:t>Access Control: Implement role-based access as defined by the project security model.</w:t>
      </w:r>
    </w:p>
    <w:p>
      <w:pPr>
        <w:pStyle w:val="ListBullet"/>
        <w:spacing w:after="30"/>
        <w:ind w:left="288"/>
      </w:pPr>
      <w:r>
        <w:t>Member-level data: Restrict access according to approved privacy and business rules.</w:t>
      </w:r>
    </w:p>
    <w:p>
      <w:pPr>
        <w:pStyle w:val="ListBullet"/>
        <w:spacing w:after="30"/>
        <w:ind w:left="288"/>
      </w:pPr>
      <w:r>
        <w:t>Compliance: Follow applicable regulatory, privacy and client requirements.</w:t>
      </w:r>
    </w:p>
    <w:p>
      <w:pPr>
        <w:pStyle w:val="ListBullet"/>
        <w:spacing w:after="30"/>
        <w:ind w:left="288"/>
      </w:pPr>
      <w:r>
        <w:t>Audit Trail: Follow approved Power BI/platform monitoring and audit requirements.</w:t>
      </w:r>
    </w:p>
    <w:tbl>
      <w:tblPr>
        <w:tblW w:type="auto" w:w="0"/>
        <w:tblLook w:firstColumn="1" w:firstRow="1" w:lastColumn="0" w:lastRow="0" w:noHBand="0" w:noVBand="1" w:val="04A0"/>
      </w:tblPr>
      <w:tblGrid>
        <w:gridCol w:w="10368"/>
      </w:tblGrid>
      <w:tr>
        <w:tc>
          <w:tcPr>
            <w:tcW w:type="dxa" w:w="10368"/>
            <w:shd w:fill="EEF4FF"/>
            <w:vAlign w:val="center"/>
          </w:tcPr>
          <w:p>
            <w:pPr>
              <w:spacing w:after="0"/>
            </w:pPr>
            <w:r/>
            <w:r>
              <w:rPr>
                <w:rFonts w:ascii="Aptos" w:hAnsi="Aptos"/>
                <w:b w:val="0"/>
                <w:color w:val="172554"/>
                <w:sz w:val="17"/>
              </w:rPr>
              <w:t>No specific security model, role matrix or privacy rule has been assumed in this document.</w:t>
            </w:r>
          </w:p>
        </w:tc>
      </w:tr>
    </w:tbl>
    <w:p/>
    <w:p>
      <w:pPr>
        <w:pStyle w:val="Heading1"/>
      </w:pPr>
      <w:r>
        <w:t>10. Deployment Plan</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72554"/>
          </w:tcPr>
          <w:p>
            <w:pPr>
              <w:spacing w:after="0"/>
            </w:pPr>
            <w:r/>
            <w:r>
              <w:rPr>
                <w:rFonts w:ascii="Aptos" w:hAnsi="Aptos"/>
                <w:b/>
                <w:color w:val="FFFFFF"/>
                <w:sz w:val="17"/>
              </w:rPr>
              <w:t>Phase</w:t>
            </w:r>
          </w:p>
        </w:tc>
        <w:tc>
          <w:tcPr>
            <w:tcW w:type="dxa" w:w="5760"/>
            <w:vAlign w:val="center"/>
            <w:shd w:fill="172554"/>
          </w:tcPr>
          <w:p>
            <w:pPr>
              <w:spacing w:after="0"/>
            </w:pPr>
            <w:r/>
            <w:r>
              <w:rPr>
                <w:rFonts w:ascii="Aptos" w:hAnsi="Aptos"/>
                <w:b/>
                <w:color w:val="FFFFFF"/>
                <w:sz w:val="17"/>
              </w:rPr>
              <w:t>Focus</w:t>
            </w:r>
          </w:p>
        </w:tc>
        <w:tc>
          <w:tcPr>
            <w:tcW w:type="dxa" w:w="1296"/>
            <w:vAlign w:val="center"/>
            <w:shd w:fill="172554"/>
          </w:tcPr>
          <w:p>
            <w:pPr>
              <w:spacing w:after="0"/>
            </w:pPr>
            <w:r/>
            <w:r>
              <w:rPr>
                <w:rFonts w:ascii="Aptos" w:hAnsi="Aptos"/>
                <w:b/>
                <w:color w:val="FFFFFF"/>
                <w:sz w:val="17"/>
              </w:rPr>
              <w:t>Status</w:t>
            </w:r>
          </w:p>
        </w:tc>
      </w:tr>
      <w:tr>
        <w:tc>
          <w:tcPr>
            <w:tcW w:type="dxa" w:w="2880"/>
            <w:vAlign w:val="center"/>
          </w:tcPr>
          <w:p>
            <w:pPr>
              <w:spacing w:after="0"/>
            </w:pPr>
            <w:r/>
            <w:r>
              <w:rPr>
                <w:rFonts w:ascii="Aptos" w:hAnsi="Aptos"/>
                <w:b w:val="0"/>
                <w:color w:val="1F2937"/>
                <w:sz w:val="17"/>
              </w:rPr>
              <w:t>Phase 1 – Planning &amp; Design</w:t>
            </w:r>
          </w:p>
        </w:tc>
        <w:tc>
          <w:tcPr>
            <w:tcW w:type="dxa" w:w="5760"/>
            <w:vAlign w:val="center"/>
          </w:tcPr>
          <w:p>
            <w:pPr>
              <w:spacing w:after="0"/>
            </w:pPr>
            <w:r/>
            <w:r>
              <w:rPr>
                <w:rFonts w:ascii="Aptos" w:hAnsi="Aptos"/>
                <w:b w:val="0"/>
                <w:color w:val="1F2937"/>
                <w:sz w:val="17"/>
              </w:rPr>
              <w:t>Confirm requirements, mock-ups, data model and dashboard design.</w:t>
            </w:r>
          </w:p>
        </w:tc>
        <w:tc>
          <w:tcPr>
            <w:tcW w:type="dxa" w:w="1296"/>
            <w:vAlign w:val="center"/>
          </w:tcPr>
          <w:p>
            <w:pPr>
              <w:spacing w:after="0"/>
            </w:pPr>
            <w:r/>
            <w:r>
              <w:rPr>
                <w:rFonts w:ascii="Aptos" w:hAnsi="Aptos"/>
                <w:b w:val="0"/>
                <w:color w:val="1F2937"/>
                <w:sz w:val="17"/>
              </w:rPr>
              <w:t>TBC</w:t>
            </w:r>
          </w:p>
        </w:tc>
      </w:tr>
      <w:tr>
        <w:tc>
          <w:tcPr>
            <w:tcW w:type="dxa" w:w="2880"/>
            <w:vAlign w:val="center"/>
          </w:tcPr>
          <w:p>
            <w:pPr>
              <w:spacing w:after="0"/>
            </w:pPr>
            <w:r/>
            <w:r>
              <w:rPr>
                <w:rFonts w:ascii="Aptos" w:hAnsi="Aptos"/>
                <w:b w:val="0"/>
                <w:color w:val="1F2937"/>
                <w:sz w:val="17"/>
              </w:rPr>
              <w:t>Phase 2 – Development</w:t>
            </w:r>
          </w:p>
        </w:tc>
        <w:tc>
          <w:tcPr>
            <w:tcW w:type="dxa" w:w="5760"/>
            <w:vAlign w:val="center"/>
          </w:tcPr>
          <w:p>
            <w:pPr>
              <w:spacing w:after="0"/>
            </w:pPr>
            <w:r/>
            <w:r>
              <w:rPr>
                <w:rFonts w:ascii="Aptos" w:hAnsi="Aptos"/>
                <w:b w:val="0"/>
                <w:color w:val="1F2937"/>
                <w:sz w:val="17"/>
              </w:rPr>
              <w:t>Build Power BI semantic model, measures, pages, visuals and drill-through.</w:t>
            </w:r>
          </w:p>
        </w:tc>
        <w:tc>
          <w:tcPr>
            <w:tcW w:type="dxa" w:w="1296"/>
            <w:vAlign w:val="center"/>
          </w:tcPr>
          <w:p>
            <w:pPr>
              <w:spacing w:after="0"/>
            </w:pPr>
            <w:r/>
            <w:r>
              <w:rPr>
                <w:rFonts w:ascii="Aptos" w:hAnsi="Aptos"/>
                <w:b w:val="0"/>
                <w:color w:val="1F2937"/>
                <w:sz w:val="17"/>
              </w:rPr>
              <w:t>TBC</w:t>
            </w:r>
          </w:p>
        </w:tc>
      </w:tr>
      <w:tr>
        <w:tc>
          <w:tcPr>
            <w:tcW w:type="dxa" w:w="2880"/>
            <w:vAlign w:val="center"/>
          </w:tcPr>
          <w:p>
            <w:pPr>
              <w:spacing w:after="0"/>
            </w:pPr>
            <w:r/>
            <w:r>
              <w:rPr>
                <w:rFonts w:ascii="Aptos" w:hAnsi="Aptos"/>
                <w:b w:val="0"/>
                <w:color w:val="1F2937"/>
                <w:sz w:val="17"/>
              </w:rPr>
              <w:t>Phase 3 – Testing</w:t>
            </w:r>
          </w:p>
        </w:tc>
        <w:tc>
          <w:tcPr>
            <w:tcW w:type="dxa" w:w="5760"/>
            <w:vAlign w:val="center"/>
          </w:tcPr>
          <w:p>
            <w:pPr>
              <w:spacing w:after="0"/>
            </w:pPr>
            <w:r/>
            <w:r>
              <w:rPr>
                <w:rFonts w:ascii="Aptos" w:hAnsi="Aptos"/>
                <w:b w:val="0"/>
                <w:color w:val="1F2937"/>
                <w:sz w:val="17"/>
              </w:rPr>
              <w:t>Functional testing, data reconciliation, visual validation and UAT.</w:t>
            </w:r>
          </w:p>
        </w:tc>
        <w:tc>
          <w:tcPr>
            <w:tcW w:type="dxa" w:w="1296"/>
            <w:vAlign w:val="center"/>
          </w:tcPr>
          <w:p>
            <w:pPr>
              <w:spacing w:after="0"/>
            </w:pPr>
            <w:r/>
            <w:r>
              <w:rPr>
                <w:rFonts w:ascii="Aptos" w:hAnsi="Aptos"/>
                <w:b w:val="0"/>
                <w:color w:val="1F2937"/>
                <w:sz w:val="17"/>
              </w:rPr>
              <w:t>TBC</w:t>
            </w:r>
          </w:p>
        </w:tc>
      </w:tr>
      <w:tr>
        <w:tc>
          <w:tcPr>
            <w:tcW w:type="dxa" w:w="2880"/>
            <w:vAlign w:val="center"/>
          </w:tcPr>
          <w:p>
            <w:pPr>
              <w:spacing w:after="0"/>
            </w:pPr>
            <w:r/>
            <w:r>
              <w:rPr>
                <w:rFonts w:ascii="Aptos" w:hAnsi="Aptos"/>
                <w:b w:val="0"/>
                <w:color w:val="1F2937"/>
                <w:sz w:val="17"/>
              </w:rPr>
              <w:t>Phase 4 – Deployment</w:t>
            </w:r>
          </w:p>
        </w:tc>
        <w:tc>
          <w:tcPr>
            <w:tcW w:type="dxa" w:w="5760"/>
            <w:vAlign w:val="center"/>
          </w:tcPr>
          <w:p>
            <w:pPr>
              <w:spacing w:after="0"/>
            </w:pPr>
            <w:r/>
            <w:r>
              <w:rPr>
                <w:rFonts w:ascii="Aptos" w:hAnsi="Aptos"/>
                <w:b w:val="0"/>
                <w:color w:val="1F2937"/>
                <w:sz w:val="17"/>
              </w:rPr>
              <w:t>Production release, access enablement, monitoring and handover.</w:t>
            </w:r>
          </w:p>
        </w:tc>
        <w:tc>
          <w:tcPr>
            <w:tcW w:type="dxa" w:w="1296"/>
            <w:vAlign w:val="center"/>
          </w:tcPr>
          <w:p>
            <w:pPr>
              <w:spacing w:after="0"/>
            </w:pPr>
            <w:r/>
            <w:r>
              <w:rPr>
                <w:rFonts w:ascii="Aptos" w:hAnsi="Aptos"/>
                <w:b w:val="0"/>
                <w:color w:val="1F2937"/>
                <w:sz w:val="17"/>
              </w:rPr>
              <w:t>TBC</w:t>
            </w:r>
          </w:p>
        </w:tc>
      </w:tr>
    </w:tbl>
    <w:p>
      <w:pPr>
        <w:spacing w:after="20"/>
      </w:pPr>
    </w:p>
    <w:p>
      <w:pPr>
        <w:pStyle w:val="Heading1"/>
      </w:pPr>
      <w:r>
        <w:t>11. Appendices</w:t>
      </w:r>
    </w:p>
    <w:tbl>
      <w:tblPr>
        <w:tblStyle w:val="TableGrid"/>
        <w:tblW w:type="auto" w:w="0"/>
        <w:jc w:val="center"/>
        <w:tblLook w:firstColumn="1" w:firstRow="1" w:lastColumn="0" w:lastRow="0" w:noHBand="0" w:noVBand="1" w:val="04A0"/>
      </w:tblPr>
      <w:tblGrid>
        <w:gridCol w:w="5184"/>
        <w:gridCol w:w="5184"/>
      </w:tblGrid>
      <w:tr>
        <w:tc>
          <w:tcPr>
            <w:tcW w:type="dxa" w:w="3312"/>
            <w:vAlign w:val="center"/>
            <w:shd w:fill="172554"/>
          </w:tcPr>
          <w:p>
            <w:pPr>
              <w:spacing w:after="0"/>
            </w:pPr>
            <w:r/>
            <w:r>
              <w:rPr>
                <w:rFonts w:ascii="Aptos" w:hAnsi="Aptos"/>
                <w:b/>
                <w:color w:val="FFFFFF"/>
                <w:sz w:val="17"/>
              </w:rPr>
              <w:t>Appendix</w:t>
            </w:r>
          </w:p>
        </w:tc>
        <w:tc>
          <w:tcPr>
            <w:tcW w:type="dxa" w:w="6624"/>
            <w:vAlign w:val="center"/>
            <w:shd w:fill="172554"/>
          </w:tcPr>
          <w:p>
            <w:pPr>
              <w:spacing w:after="0"/>
            </w:pPr>
            <w:r/>
            <w:r>
              <w:rPr>
                <w:rFonts w:ascii="Aptos" w:hAnsi="Aptos"/>
                <w:b/>
                <w:color w:val="FFFFFF"/>
                <w:sz w:val="17"/>
              </w:rPr>
              <w:t>Content</w:t>
            </w:r>
          </w:p>
        </w:tc>
      </w:tr>
      <w:tr>
        <w:tc>
          <w:tcPr>
            <w:tcW w:type="dxa" w:w="3312"/>
            <w:vAlign w:val="center"/>
          </w:tcPr>
          <w:p>
            <w:pPr>
              <w:spacing w:after="0"/>
            </w:pPr>
            <w:r/>
            <w:r>
              <w:rPr>
                <w:rFonts w:ascii="Aptos" w:hAnsi="Aptos"/>
                <w:b w:val="0"/>
                <w:color w:val="1F2937"/>
                <w:sz w:val="17"/>
              </w:rPr>
              <w:t>Appendix A – Dashboard Mock-ups</w:t>
            </w:r>
          </w:p>
        </w:tc>
        <w:tc>
          <w:tcPr>
            <w:tcW w:type="dxa" w:w="6624"/>
            <w:vAlign w:val="center"/>
          </w:tcPr>
          <w:p>
            <w:pPr>
              <w:spacing w:after="0"/>
            </w:pPr>
            <w:r/>
            <w:r>
              <w:rPr>
                <w:rFonts w:ascii="Aptos" w:hAnsi="Aptos"/>
                <w:b w:val="0"/>
                <w:color w:val="1F2937"/>
                <w:sz w:val="17"/>
              </w:rPr>
              <w:t>Approved wireframes/mock-ups for each dashboard.</w:t>
            </w:r>
          </w:p>
        </w:tc>
      </w:tr>
      <w:tr>
        <w:tc>
          <w:tcPr>
            <w:tcW w:type="dxa" w:w="3312"/>
            <w:vAlign w:val="center"/>
          </w:tcPr>
          <w:p>
            <w:pPr>
              <w:spacing w:after="0"/>
            </w:pPr>
            <w:r/>
            <w:r>
              <w:rPr>
                <w:rFonts w:ascii="Aptos" w:hAnsi="Aptos"/>
                <w:b w:val="0"/>
                <w:color w:val="1F2937"/>
                <w:sz w:val="17"/>
              </w:rPr>
              <w:t>Appendix B – KPI / Metric Reference</w:t>
            </w:r>
          </w:p>
        </w:tc>
        <w:tc>
          <w:tcPr>
            <w:tcW w:type="dxa" w:w="6624"/>
            <w:vAlign w:val="center"/>
          </w:tcPr>
          <w:p>
            <w:pPr>
              <w:spacing w:after="0"/>
            </w:pPr>
            <w:r/>
            <w:r>
              <w:rPr>
                <w:rFonts w:ascii="Aptos" w:hAnsi="Aptos"/>
                <w:b w:val="0"/>
                <w:color w:val="1F2937"/>
                <w:sz w:val="17"/>
              </w:rPr>
              <w:t>Approved KPI definitions and calculation references from the formal FRS/BRS.</w:t>
            </w:r>
          </w:p>
        </w:tc>
      </w:tr>
      <w:tr>
        <w:tc>
          <w:tcPr>
            <w:tcW w:type="dxa" w:w="3312"/>
            <w:vAlign w:val="center"/>
          </w:tcPr>
          <w:p>
            <w:pPr>
              <w:spacing w:after="0"/>
            </w:pPr>
            <w:r/>
            <w:r>
              <w:rPr>
                <w:rFonts w:ascii="Aptos" w:hAnsi="Aptos"/>
                <w:b w:val="0"/>
                <w:color w:val="1F2937"/>
                <w:sz w:val="17"/>
              </w:rPr>
              <w:t>Appendix C – Data Dictionary</w:t>
            </w:r>
          </w:p>
        </w:tc>
        <w:tc>
          <w:tcPr>
            <w:tcW w:type="dxa" w:w="6624"/>
            <w:vAlign w:val="center"/>
          </w:tcPr>
          <w:p>
            <w:pPr>
              <w:spacing w:after="0"/>
            </w:pPr>
            <w:r/>
            <w:r>
              <w:rPr>
                <w:rFonts w:ascii="Aptos" w:hAnsi="Aptos"/>
                <w:b w:val="0"/>
                <w:color w:val="1F2937"/>
                <w:sz w:val="17"/>
              </w:rPr>
              <w:t>Approved reporting fields and business descriptions.</w:t>
            </w:r>
          </w:p>
        </w:tc>
      </w:tr>
      <w:tr>
        <w:tc>
          <w:tcPr>
            <w:tcW w:type="dxa" w:w="3312"/>
            <w:vAlign w:val="center"/>
          </w:tcPr>
          <w:p>
            <w:pPr>
              <w:spacing w:after="0"/>
            </w:pPr>
            <w:r/>
            <w:r>
              <w:rPr>
                <w:rFonts w:ascii="Aptos" w:hAnsi="Aptos"/>
                <w:b w:val="0"/>
                <w:color w:val="1F2937"/>
                <w:sz w:val="17"/>
              </w:rPr>
              <w:t>Appendix D – Data Mapping</w:t>
            </w:r>
          </w:p>
        </w:tc>
        <w:tc>
          <w:tcPr>
            <w:tcW w:type="dxa" w:w="6624"/>
            <w:vAlign w:val="center"/>
          </w:tcPr>
          <w:p>
            <w:pPr>
              <w:spacing w:after="0"/>
            </w:pPr>
            <w:r/>
            <w:r>
              <w:rPr>
                <w:rFonts w:ascii="Aptos" w:hAnsi="Aptos"/>
                <w:b w:val="0"/>
                <w:color w:val="1F2937"/>
                <w:sz w:val="17"/>
              </w:rPr>
              <w:t>Source-to-reporting-layer mappings.</w:t>
            </w:r>
          </w:p>
        </w:tc>
      </w:tr>
      <w:tr>
        <w:tc>
          <w:tcPr>
            <w:tcW w:type="dxa" w:w="3312"/>
            <w:vAlign w:val="center"/>
          </w:tcPr>
          <w:p>
            <w:pPr>
              <w:spacing w:after="0"/>
            </w:pPr>
            <w:r/>
            <w:r>
              <w:rPr>
                <w:rFonts w:ascii="Aptos" w:hAnsi="Aptos"/>
                <w:b w:val="0"/>
                <w:color w:val="1F2937"/>
                <w:sz w:val="17"/>
              </w:rPr>
              <w:t>Appendix E – Technical Architecture</w:t>
            </w:r>
          </w:p>
        </w:tc>
        <w:tc>
          <w:tcPr>
            <w:tcW w:type="dxa" w:w="6624"/>
            <w:vAlign w:val="center"/>
          </w:tcPr>
          <w:p>
            <w:pPr>
              <w:spacing w:after="0"/>
            </w:pPr>
            <w:r/>
            <w:r>
              <w:rPr>
                <w:rFonts w:ascii="Aptos" w:hAnsi="Aptos"/>
                <w:b w:val="0"/>
                <w:color w:val="1F2937"/>
                <w:sz w:val="17"/>
              </w:rPr>
              <w:t>Approved Power BI/data platform architecture.</w:t>
            </w:r>
          </w:p>
        </w:tc>
      </w:tr>
      <w:tr>
        <w:tc>
          <w:tcPr>
            <w:tcW w:type="dxa" w:w="3312"/>
            <w:vAlign w:val="center"/>
          </w:tcPr>
          <w:p>
            <w:pPr>
              <w:spacing w:after="0"/>
            </w:pPr>
            <w:r/>
            <w:r>
              <w:rPr>
                <w:rFonts w:ascii="Aptos" w:hAnsi="Aptos"/>
                <w:b w:val="0"/>
                <w:color w:val="1F2937"/>
                <w:sz w:val="17"/>
              </w:rPr>
              <w:t>Appendix F – Glossary</w:t>
            </w:r>
          </w:p>
        </w:tc>
        <w:tc>
          <w:tcPr>
            <w:tcW w:type="dxa" w:w="6624"/>
            <w:vAlign w:val="center"/>
          </w:tcPr>
          <w:p>
            <w:pPr>
              <w:spacing w:after="0"/>
            </w:pPr>
            <w:r/>
            <w:r>
              <w:rPr>
                <w:rFonts w:ascii="Aptos" w:hAnsi="Aptos"/>
                <w:b w:val="0"/>
                <w:color w:val="1F2937"/>
                <w:sz w:val="17"/>
              </w:rPr>
              <w:t>Business and reporting terminology.</w:t>
            </w:r>
          </w:p>
        </w:tc>
      </w:tr>
      <w:tr>
        <w:tc>
          <w:tcPr>
            <w:tcW w:type="dxa" w:w="3312"/>
            <w:vAlign w:val="center"/>
          </w:tcPr>
          <w:p>
            <w:pPr>
              <w:spacing w:after="0"/>
            </w:pPr>
            <w:r/>
            <w:r>
              <w:rPr>
                <w:rFonts w:ascii="Aptos" w:hAnsi="Aptos"/>
                <w:b w:val="0"/>
                <w:color w:val="1F2937"/>
                <w:sz w:val="17"/>
              </w:rPr>
              <w:t>Appendix G – Reference Documents</w:t>
            </w:r>
          </w:p>
        </w:tc>
        <w:tc>
          <w:tcPr>
            <w:tcW w:type="dxa" w:w="6624"/>
            <w:vAlign w:val="center"/>
          </w:tcPr>
          <w:p>
            <w:pPr>
              <w:spacing w:after="0"/>
            </w:pPr>
            <w:r/>
            <w:r>
              <w:rPr>
                <w:rFonts w:ascii="Aptos" w:hAnsi="Aptos"/>
                <w:b w:val="0"/>
                <w:color w:val="1F2937"/>
                <w:sz w:val="17"/>
              </w:rPr>
              <w:t>FRS, BRS, Key Metrics Q&amp;A and other approved project references.</w:t>
            </w:r>
          </w:p>
        </w:tc>
      </w:tr>
    </w:tbl>
    <w:p>
      <w:pPr>
        <w:spacing w:after="20"/>
      </w:pPr>
    </w:p>
    <w:p>
      <w:pPr>
        <w:pStyle w:val="Heading2"/>
      </w:pPr>
      <w:r>
        <w:t>11.1 Supplied Dashboard References</w:t>
      </w:r>
    </w:p>
    <w:p>
      <w:pPr>
        <w:jc w:val="center"/>
      </w:pPr>
      <w:r>
        <w:drawing>
          <wp:inline xmlns:a="http://schemas.openxmlformats.org/drawingml/2006/main" xmlns:pic="http://schemas.openxmlformats.org/drawingml/2006/picture">
            <wp:extent cx="5989320" cy="3247501"/>
            <wp:docPr id="4" name="Picture 4"/>
            <wp:cNvGraphicFramePr>
              <a:graphicFrameLocks noChangeAspect="1"/>
            </wp:cNvGraphicFramePr>
            <a:graphic>
              <a:graphicData uri="http://schemas.openxmlformats.org/drawingml/2006/picture">
                <pic:pic>
                  <pic:nvPicPr>
                    <pic:cNvPr id="0" name="f3318ccb-2116-42eb-84e0-1a697a71b1a1.png"/>
                    <pic:cNvPicPr/>
                  </pic:nvPicPr>
                  <pic:blipFill>
                    <a:blip r:embed="rId12"/>
                    <a:stretch>
                      <a:fillRect/>
                    </a:stretch>
                  </pic:blipFill>
                  <pic:spPr>
                    <a:xfrm>
                      <a:off x="0" y="0"/>
                      <a:ext cx="5989320" cy="3247501"/>
                    </a:xfrm>
                    <a:prstGeom prst="rect"/>
                  </pic:spPr>
                </pic:pic>
              </a:graphicData>
            </a:graphic>
          </wp:inline>
        </w:drawing>
      </w:r>
    </w:p>
    <w:p>
      <w:pPr>
        <w:jc w:val="center"/>
      </w:pPr>
      <w:r>
        <w:rPr>
          <w:i/>
          <w:color w:val="6B7280"/>
          <w:sz w:val="16"/>
        </w:rPr>
        <w:t>Figure 4 – Alternate supplied Retention Analytics capture</w:t>
      </w:r>
    </w:p>
    <w:p/>
    <w:sectPr w:rsidR="00FC693F" w:rsidRPr="0006063C" w:rsidSect="00034616">
      <w:footerReference w:type="default" r:id="rId13"/>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Member Retention Power BI Dashboards | Confluence Dashboard Requirements &amp; Design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5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