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795F" w14:textId="77777777" w:rsidR="00347718" w:rsidRPr="00347718" w:rsidRDefault="00347718" w:rsidP="00347718">
      <w:r w:rsidRPr="00347718">
        <w:t>Hi Tavneet,</w:t>
      </w:r>
    </w:p>
    <w:p w14:paraId="1EF5D781" w14:textId="77777777" w:rsidR="00347718" w:rsidRPr="00347718" w:rsidRDefault="00347718" w:rsidP="00347718">
      <w:r w:rsidRPr="00347718">
        <w:t>As requested, I have reviewed the key limitations and potential pain points associated with the Power BI Pro license, particularly from the perspective of enterprise reporting, large datasets, data refresh requirements, report distribution, and deployment management.</w:t>
      </w:r>
    </w:p>
    <w:p w14:paraId="585926DC" w14:textId="77777777" w:rsidR="00347718" w:rsidRPr="00347718" w:rsidRDefault="00347718" w:rsidP="00347718">
      <w:r w:rsidRPr="00347718">
        <w:t>Please find below a summary of the key observations, their potential business impact, and the options available to address them.</w:t>
      </w:r>
    </w:p>
    <w:p w14:paraId="6F34AC32" w14:textId="77777777" w:rsidR="00347718" w:rsidRPr="00347718" w:rsidRDefault="00347718" w:rsidP="00347718">
      <w:r w:rsidRPr="00347718">
        <w:rPr>
          <w:b/>
          <w:bCs/>
        </w:rPr>
        <w:t>1. Large semantic model and data-volume limitations</w:t>
      </w:r>
    </w:p>
    <w:p w14:paraId="52BEF80B" w14:textId="77777777" w:rsidR="00347718" w:rsidRPr="00347718" w:rsidRDefault="00347718" w:rsidP="00347718">
      <w:pPr>
        <w:numPr>
          <w:ilvl w:val="0"/>
          <w:numId w:val="1"/>
        </w:numPr>
      </w:pPr>
      <w:r w:rsidRPr="00347718">
        <w:t>Power BI Pro has a standard semantic model size limit of 1 GB in the Power BI service.</w:t>
      </w:r>
    </w:p>
    <w:p w14:paraId="033E9DD5" w14:textId="77777777" w:rsidR="00347718" w:rsidRPr="00347718" w:rsidRDefault="00347718" w:rsidP="00347718">
      <w:pPr>
        <w:numPr>
          <w:ilvl w:val="0"/>
          <w:numId w:val="1"/>
        </w:numPr>
      </w:pPr>
      <w:r w:rsidRPr="00347718">
        <w:t>This can become a constraint when reports involve large volumes of historical data, detailed transactional records, or data consolidated from multiple source systems.</w:t>
      </w:r>
    </w:p>
    <w:p w14:paraId="1439B412" w14:textId="77777777" w:rsidR="00347718" w:rsidRPr="00347718" w:rsidRDefault="00347718" w:rsidP="00347718">
      <w:pPr>
        <w:numPr>
          <w:ilvl w:val="0"/>
          <w:numId w:val="1"/>
        </w:numPr>
      </w:pPr>
      <w:r w:rsidRPr="00347718">
        <w:t>Large datasets may require additional optimization, data reduction, aggregation, incremental refresh where supported, or alternative storage and connectivity strategies.</w:t>
      </w:r>
    </w:p>
    <w:p w14:paraId="04BDD928" w14:textId="77777777" w:rsidR="00347718" w:rsidRPr="00347718" w:rsidRDefault="00347718" w:rsidP="00347718">
      <w:pPr>
        <w:numPr>
          <w:ilvl w:val="0"/>
          <w:numId w:val="1"/>
        </w:numPr>
      </w:pPr>
      <w:r w:rsidRPr="00347718">
        <w:t>Premium Per User (PPU) supports semantic models up to 100 GB, subject to applicable configuration and service limits. Dedicated Fabric capacity offers configurable limits based on the capacity SKU.</w:t>
      </w:r>
    </w:p>
    <w:p w14:paraId="02408A02" w14:textId="77777777" w:rsidR="00347718" w:rsidRPr="00347718" w:rsidRDefault="00347718" w:rsidP="00347718">
      <w:r w:rsidRPr="00347718">
        <w:rPr>
          <w:b/>
          <w:bCs/>
        </w:rPr>
        <w:t>Business impact:</w:t>
      </w:r>
      <w:r w:rsidRPr="00347718">
        <w:t xml:space="preserve"> Potential model-size errors, additional development effort, longer refresh times, and difficulty accommodating future data growth.</w:t>
      </w:r>
    </w:p>
    <w:p w14:paraId="00FB243B" w14:textId="77777777" w:rsidR="00347718" w:rsidRPr="00347718" w:rsidRDefault="00347718" w:rsidP="00347718">
      <w:r w:rsidRPr="00347718">
        <w:rPr>
          <w:b/>
          <w:bCs/>
        </w:rPr>
        <w:t>2. Scheduled refresh limitations</w:t>
      </w:r>
    </w:p>
    <w:p w14:paraId="3DA99313" w14:textId="77777777" w:rsidR="00347718" w:rsidRPr="00347718" w:rsidRDefault="00347718" w:rsidP="00347718">
      <w:pPr>
        <w:numPr>
          <w:ilvl w:val="0"/>
          <w:numId w:val="2"/>
        </w:numPr>
      </w:pPr>
      <w:r w:rsidRPr="00347718">
        <w:t>Pro supports up to eight scheduled semantic-model refreshes per day.</w:t>
      </w:r>
    </w:p>
    <w:p w14:paraId="2D7C0DC0" w14:textId="77777777" w:rsidR="00347718" w:rsidRPr="00347718" w:rsidRDefault="00347718" w:rsidP="00347718">
      <w:pPr>
        <w:numPr>
          <w:ilvl w:val="0"/>
          <w:numId w:val="2"/>
        </w:numPr>
      </w:pPr>
      <w:r w:rsidRPr="00347718">
        <w:t>PPU and qualifying dedicated capacities support up to 48 scheduled refreshes per day.</w:t>
      </w:r>
    </w:p>
    <w:p w14:paraId="0B283AEC" w14:textId="77777777" w:rsidR="00347718" w:rsidRPr="00347718" w:rsidRDefault="00347718" w:rsidP="00347718">
      <w:pPr>
        <w:numPr>
          <w:ilvl w:val="0"/>
          <w:numId w:val="2"/>
        </w:numPr>
      </w:pPr>
      <w:r w:rsidRPr="00347718">
        <w:t>Refresh failures and delays can also arise from gateway availability, source-system performance, query complexity, and resource constraints.</w:t>
      </w:r>
    </w:p>
    <w:p w14:paraId="21691DBE" w14:textId="77777777" w:rsidR="00347718" w:rsidRPr="00347718" w:rsidRDefault="00347718" w:rsidP="00347718">
      <w:r w:rsidRPr="00347718">
        <w:rPr>
          <w:b/>
          <w:bCs/>
        </w:rPr>
        <w:t>Business impact:</w:t>
      </w:r>
      <w:r w:rsidRPr="00347718">
        <w:t xml:space="preserve"> Potential delays in making updated information available to business users, particularly where reporting requirements call for frequent refreshes throughout the day.</w:t>
      </w:r>
    </w:p>
    <w:p w14:paraId="58A6C9BB" w14:textId="77777777" w:rsidR="00347718" w:rsidRPr="00347718" w:rsidRDefault="00347718" w:rsidP="00347718">
      <w:r w:rsidRPr="00347718">
        <w:rPr>
          <w:b/>
          <w:bCs/>
        </w:rPr>
        <w:t>3. Exporting large volumes of data</w:t>
      </w:r>
    </w:p>
    <w:p w14:paraId="1195DE42" w14:textId="77777777" w:rsidR="00347718" w:rsidRPr="00347718" w:rsidRDefault="00347718" w:rsidP="00347718">
      <w:pPr>
        <w:numPr>
          <w:ilvl w:val="0"/>
          <w:numId w:val="3"/>
        </w:numPr>
      </w:pPr>
      <w:r w:rsidRPr="00347718">
        <w:t>Standard Excel exports from Power BI visuals support up to 150,000 rows.</w:t>
      </w:r>
    </w:p>
    <w:p w14:paraId="3D7C3CDA" w14:textId="77777777" w:rsidR="00347718" w:rsidRPr="00347718" w:rsidRDefault="00347718" w:rsidP="00347718">
      <w:pPr>
        <w:numPr>
          <w:ilvl w:val="0"/>
          <w:numId w:val="3"/>
        </w:numPr>
      </w:pPr>
      <w:r w:rsidRPr="00347718">
        <w:lastRenderedPageBreak/>
        <w:t>Excel exports using a live connection support up to 500,000 rows, while CSV exports support up to 30,000 rows.</w:t>
      </w:r>
    </w:p>
    <w:p w14:paraId="62375DD8" w14:textId="77777777" w:rsidR="00347718" w:rsidRPr="00347718" w:rsidRDefault="00347718" w:rsidP="00347718">
      <w:pPr>
        <w:numPr>
          <w:ilvl w:val="0"/>
          <w:numId w:val="3"/>
        </w:numPr>
      </w:pPr>
      <w:r w:rsidRPr="00347718">
        <w:t>Actual export volumes can be lower depending on the visual, query limits, and export configuration.</w:t>
      </w:r>
    </w:p>
    <w:p w14:paraId="011821D5" w14:textId="77777777" w:rsidR="00347718" w:rsidRPr="00347718" w:rsidRDefault="00347718" w:rsidP="00347718">
      <w:r w:rsidRPr="00347718">
        <w:rPr>
          <w:b/>
          <w:bCs/>
        </w:rPr>
        <w:t>Business impact:</w:t>
      </w:r>
      <w:r w:rsidRPr="00347718">
        <w:t xml:space="preserve"> Users requiring detailed member-level or transaction-level extracts may be unable to obtain all the required records through a single visual export. Alternative approaches, such as paginated reports where appropriate, controlled data extracts, or direct access to an approved source, may be necessary.</w:t>
      </w:r>
    </w:p>
    <w:p w14:paraId="15D68D3F" w14:textId="77777777" w:rsidR="00347718" w:rsidRPr="00347718" w:rsidRDefault="00347718" w:rsidP="00347718">
      <w:r w:rsidRPr="00347718">
        <w:rPr>
          <w:b/>
          <w:bCs/>
        </w:rPr>
        <w:t>4. Deployment management and version control</w:t>
      </w:r>
    </w:p>
    <w:p w14:paraId="62F56B73" w14:textId="77777777" w:rsidR="00347718" w:rsidRPr="00347718" w:rsidRDefault="00347718" w:rsidP="00347718">
      <w:pPr>
        <w:numPr>
          <w:ilvl w:val="0"/>
          <w:numId w:val="4"/>
        </w:numPr>
      </w:pPr>
      <w:r w:rsidRPr="00347718">
        <w:t>Power BI Pro does not include the built-in deployment pipelines feature or XMLA read/write connectivity.</w:t>
      </w:r>
    </w:p>
    <w:p w14:paraId="7C27FDA4" w14:textId="77777777" w:rsidR="00347718" w:rsidRPr="00347718" w:rsidRDefault="00347718" w:rsidP="00347718">
      <w:pPr>
        <w:numPr>
          <w:ilvl w:val="0"/>
          <w:numId w:val="4"/>
        </w:numPr>
      </w:pPr>
      <w:r w:rsidRPr="00347718">
        <w:t>These capabilities are available with PPU and qualifying dedicated capacity options.</w:t>
      </w:r>
    </w:p>
    <w:p w14:paraId="253A8373" w14:textId="77777777" w:rsidR="00347718" w:rsidRPr="00347718" w:rsidRDefault="00347718" w:rsidP="00347718">
      <w:pPr>
        <w:numPr>
          <w:ilvl w:val="0"/>
          <w:numId w:val="4"/>
        </w:numPr>
      </w:pPr>
      <w:r w:rsidRPr="00347718">
        <w:t>Development, testing, and production deployments can still be managed using alternative processes and tools, including Azure DevOps-based workflows, depending on the organization's architecture and governance requirements.</w:t>
      </w:r>
    </w:p>
    <w:p w14:paraId="50D1AAD1" w14:textId="77777777" w:rsidR="00347718" w:rsidRPr="00347718" w:rsidRDefault="00347718" w:rsidP="00347718">
      <w:r w:rsidRPr="00347718">
        <w:rPr>
          <w:b/>
          <w:bCs/>
        </w:rPr>
        <w:t>Business impact:</w:t>
      </w:r>
      <w:r w:rsidRPr="00347718">
        <w:t xml:space="preserve"> Additional effort may be required to establish a consistent release process, manage report versions, validate changes across environments, and maintain deployment controls.</w:t>
      </w:r>
    </w:p>
    <w:p w14:paraId="1692FE2D" w14:textId="77777777" w:rsidR="00347718" w:rsidRPr="00347718" w:rsidRDefault="00347718" w:rsidP="00347718">
      <w:r w:rsidRPr="00347718">
        <w:rPr>
          <w:b/>
          <w:bCs/>
        </w:rPr>
        <w:t>5. Report sharing and licensing requirements</w:t>
      </w:r>
    </w:p>
    <w:p w14:paraId="202DCD8E" w14:textId="77777777" w:rsidR="00347718" w:rsidRPr="00347718" w:rsidRDefault="00347718" w:rsidP="00347718">
      <w:pPr>
        <w:numPr>
          <w:ilvl w:val="0"/>
          <w:numId w:val="5"/>
        </w:numPr>
      </w:pPr>
      <w:r w:rsidRPr="00347718">
        <w:t>In shared capacity, users generally require Pro licenses to publish, share, and consume shared organizational content.</w:t>
      </w:r>
    </w:p>
    <w:p w14:paraId="183385D3" w14:textId="77777777" w:rsidR="00347718" w:rsidRPr="00347718" w:rsidRDefault="00347718" w:rsidP="00347718">
      <w:pPr>
        <w:numPr>
          <w:ilvl w:val="0"/>
          <w:numId w:val="5"/>
        </w:numPr>
      </w:pPr>
      <w:r w:rsidRPr="00347718">
        <w:t>If reports need to be distributed to users with free licenses, the workspace must be hosted on qualifying dedicated capacity, such as Fabric F64 or higher.</w:t>
      </w:r>
    </w:p>
    <w:p w14:paraId="0BA19CD6" w14:textId="77777777" w:rsidR="00347718" w:rsidRPr="00347718" w:rsidRDefault="00347718" w:rsidP="00347718">
      <w:pPr>
        <w:numPr>
          <w:ilvl w:val="0"/>
          <w:numId w:val="5"/>
        </w:numPr>
      </w:pPr>
      <w:r w:rsidRPr="00347718">
        <w:t>PPU provides additional features but does not, by itself, remove the requirement for PPU licenses for users accessing content in a PPU workspace.</w:t>
      </w:r>
    </w:p>
    <w:p w14:paraId="520A8586" w14:textId="77777777" w:rsidR="00347718" w:rsidRPr="00347718" w:rsidRDefault="00347718" w:rsidP="00347718">
      <w:r w:rsidRPr="00347718">
        <w:rPr>
          <w:b/>
          <w:bCs/>
        </w:rPr>
        <w:t>Business impact:</w:t>
      </w:r>
      <w:r w:rsidRPr="00347718">
        <w:t xml:space="preserve"> Licensing costs can increase as the audience grows, and the distribution model must be considered when selecting the appropriate licensing option.</w:t>
      </w:r>
    </w:p>
    <w:p w14:paraId="78B13FF7" w14:textId="77777777" w:rsidR="00347718" w:rsidRPr="00347718" w:rsidRDefault="00347718" w:rsidP="00347718">
      <w:r w:rsidRPr="00347718">
        <w:rPr>
          <w:b/>
          <w:bCs/>
        </w:rPr>
        <w:t>6. Performance and scalability considerations</w:t>
      </w:r>
    </w:p>
    <w:p w14:paraId="42EFE236" w14:textId="77777777" w:rsidR="00347718" w:rsidRPr="00347718" w:rsidRDefault="00347718" w:rsidP="00347718">
      <w:pPr>
        <w:numPr>
          <w:ilvl w:val="0"/>
          <w:numId w:val="6"/>
        </w:numPr>
      </w:pPr>
      <w:r w:rsidRPr="00347718">
        <w:t>Large semantic models, complex DAX calculations, inefficient Power Query transformations, and high-cardinality columns can affect report responsiveness and refresh performance.</w:t>
      </w:r>
    </w:p>
    <w:p w14:paraId="07C618A6" w14:textId="77777777" w:rsidR="00347718" w:rsidRPr="00347718" w:rsidRDefault="00347718" w:rsidP="00347718">
      <w:pPr>
        <w:numPr>
          <w:ilvl w:val="0"/>
          <w:numId w:val="6"/>
        </w:numPr>
      </w:pPr>
      <w:r w:rsidRPr="00347718">
        <w:t>Shared-capacity resource constraints may also contribute to refresh delays or throttling.</w:t>
      </w:r>
    </w:p>
    <w:p w14:paraId="55AC426A" w14:textId="77777777" w:rsidR="00347718" w:rsidRPr="00347718" w:rsidRDefault="00347718" w:rsidP="00347718">
      <w:pPr>
        <w:numPr>
          <w:ilvl w:val="0"/>
          <w:numId w:val="6"/>
        </w:numPr>
      </w:pPr>
      <w:r w:rsidRPr="00347718">
        <w:lastRenderedPageBreak/>
        <w:t>An upgrade to PPU or dedicated capacity can provide additional capabilities and resources, but it does not automatically resolve data-</w:t>
      </w:r>
      <w:proofErr w:type="spellStart"/>
      <w:r w:rsidRPr="00347718">
        <w:t>modeling</w:t>
      </w:r>
      <w:proofErr w:type="spellEnd"/>
      <w:r w:rsidRPr="00347718">
        <w:t xml:space="preserve"> or query-performance issues.</w:t>
      </w:r>
    </w:p>
    <w:p w14:paraId="4C7CB97E" w14:textId="77777777" w:rsidR="00347718" w:rsidRPr="00347718" w:rsidRDefault="00347718" w:rsidP="00347718">
      <w:r w:rsidRPr="00347718">
        <w:rPr>
          <w:b/>
          <w:bCs/>
        </w:rPr>
        <w:t>Business impact:</w:t>
      </w:r>
      <w:r w:rsidRPr="00347718">
        <w:t xml:space="preserve"> Additional optimization and capacity planning may be required to maintain acceptable report response times and support growing data volumes.</w:t>
      </w:r>
    </w:p>
    <w:p w14:paraId="67E50092" w14:textId="77777777" w:rsidR="00347718" w:rsidRPr="00347718" w:rsidRDefault="00347718" w:rsidP="00347718">
      <w:r w:rsidRPr="00347718">
        <w:rPr>
          <w:b/>
          <w:bCs/>
        </w:rPr>
        <w:t>7. Recommendations and next steps</w:t>
      </w:r>
    </w:p>
    <w:p w14:paraId="5753CD29" w14:textId="77777777" w:rsidR="00347718" w:rsidRPr="00347718" w:rsidRDefault="00347718" w:rsidP="00347718">
      <w:r w:rsidRPr="00347718">
        <w:t>Based on the above observations, I recommend evaluating the following options against our actual reporting requirements:</w:t>
      </w:r>
    </w:p>
    <w:p w14:paraId="44F27BDB" w14:textId="77777777" w:rsidR="00347718" w:rsidRPr="00347718" w:rsidRDefault="00347718" w:rsidP="00347718">
      <w:pPr>
        <w:numPr>
          <w:ilvl w:val="0"/>
          <w:numId w:val="7"/>
        </w:numPr>
      </w:pPr>
      <w:r w:rsidRPr="00347718">
        <w:rPr>
          <w:b/>
          <w:bCs/>
        </w:rPr>
        <w:t>Continue with Pro:</w:t>
      </w:r>
      <w:r w:rsidRPr="00347718">
        <w:t xml:space="preserve"> Suitable where semantic models remain within the applicable limits, eight scheduled refreshes per day are sufficient, and all report consumers have the required licenses.</w:t>
      </w:r>
    </w:p>
    <w:p w14:paraId="258651DC" w14:textId="77777777" w:rsidR="00347718" w:rsidRPr="00347718" w:rsidRDefault="00347718" w:rsidP="00347718">
      <w:pPr>
        <w:numPr>
          <w:ilvl w:val="0"/>
          <w:numId w:val="7"/>
        </w:numPr>
      </w:pPr>
      <w:r w:rsidRPr="00347718">
        <w:rPr>
          <w:b/>
          <w:bCs/>
        </w:rPr>
        <w:t>Evaluate PPU:</w:t>
      </w:r>
      <w:r w:rsidRPr="00347718">
        <w:t xml:space="preserve"> Suitable where individual users need larger semantic models, more frequent scheduled refreshes, deployment pipelines, XMLA read/write, or other advanced features, provided the intended audience can meet PPU licensing requirements.</w:t>
      </w:r>
    </w:p>
    <w:p w14:paraId="2CFF1B79" w14:textId="77777777" w:rsidR="00347718" w:rsidRPr="00347718" w:rsidRDefault="00347718" w:rsidP="00347718">
      <w:pPr>
        <w:numPr>
          <w:ilvl w:val="0"/>
          <w:numId w:val="7"/>
        </w:numPr>
      </w:pPr>
      <w:r w:rsidRPr="00347718">
        <w:rPr>
          <w:b/>
          <w:bCs/>
        </w:rPr>
        <w:t>Evaluate dedicated Fabric capacity:</w:t>
      </w:r>
      <w:r w:rsidRPr="00347718">
        <w:t xml:space="preserve"> Worth considering where we need capacity-based resource allocation, broader report distribution to free-license users, or scalable enterprise reporting. The appropriate SKU should be selected based on workload, concurrency, data volume, and cost.</w:t>
      </w:r>
    </w:p>
    <w:p w14:paraId="51CDAD6C" w14:textId="77777777" w:rsidR="00347718" w:rsidRPr="00347718" w:rsidRDefault="00347718" w:rsidP="00347718">
      <w:pPr>
        <w:numPr>
          <w:ilvl w:val="0"/>
          <w:numId w:val="7"/>
        </w:numPr>
      </w:pPr>
      <w:r w:rsidRPr="00347718">
        <w:rPr>
          <w:b/>
          <w:bCs/>
        </w:rPr>
        <w:t>Optimize the existing solution:</w:t>
      </w:r>
      <w:r w:rsidRPr="00347718">
        <w:t xml:space="preserve"> Review data-model design, remove unnecessary columns, optimize DAX and Power Query transformations, assess incremental refresh eligibility, and review source queries before attributing performance issues solely to licensing.</w:t>
      </w:r>
    </w:p>
    <w:p w14:paraId="5A82F87A" w14:textId="77777777" w:rsidR="00347718" w:rsidRPr="00347718" w:rsidRDefault="00347718" w:rsidP="00347718">
      <w:pPr>
        <w:numPr>
          <w:ilvl w:val="0"/>
          <w:numId w:val="7"/>
        </w:numPr>
      </w:pPr>
      <w:r w:rsidRPr="00347718">
        <w:rPr>
          <w:b/>
          <w:bCs/>
        </w:rPr>
        <w:t>Validate export requirements:</w:t>
      </w:r>
      <w:r w:rsidRPr="00347718">
        <w:t xml:space="preserve"> Identify the business reports that require large data extracts and assess whether paginated reports, approved source-level extracts, or other governed alternatives are more appropriate.</w:t>
      </w:r>
    </w:p>
    <w:p w14:paraId="6D833DE7" w14:textId="77777777" w:rsidR="00347718" w:rsidRPr="00347718" w:rsidRDefault="00347718" w:rsidP="00347718">
      <w:r w:rsidRPr="00347718">
        <w:rPr>
          <w:b/>
          <w:bCs/>
        </w:rPr>
        <w:t>Conclusion</w:t>
      </w:r>
    </w:p>
    <w:p w14:paraId="5EEAC219" w14:textId="77777777" w:rsidR="00347718" w:rsidRPr="00347718" w:rsidRDefault="00347718" w:rsidP="00347718">
      <w:r w:rsidRPr="00347718">
        <w:t>Power BI Pro remains suitable for standard reporting and collaboration. However, where reporting requirements involve large semantic models, frequent refreshes, enterprise deployment management, or distribution to a broad audience, its limitations should be evaluated against the available PPU and dedicated Fabric capacity options.</w:t>
      </w:r>
    </w:p>
    <w:p w14:paraId="6F252A99" w14:textId="77777777" w:rsidR="00347718" w:rsidRPr="00347718" w:rsidRDefault="00347718" w:rsidP="00347718">
      <w:r w:rsidRPr="00347718">
        <w:t>I recommend validating the actual model sizes, refresh frequency, export requirements, report-consumer licensing, and performance issues before making a licensing recommendation. This will help us identify the most suitable and cost-effective approach for our reporting requirements.</w:t>
      </w:r>
    </w:p>
    <w:p w14:paraId="7FE01089" w14:textId="77777777" w:rsidR="00347718" w:rsidRPr="00347718" w:rsidRDefault="00347718" w:rsidP="00347718">
      <w:r w:rsidRPr="00347718">
        <w:rPr>
          <w:b/>
          <w:bCs/>
        </w:rPr>
        <w:lastRenderedPageBreak/>
        <w:t>Microsoft references:</w:t>
      </w:r>
    </w:p>
    <w:p w14:paraId="51E759C5" w14:textId="77777777" w:rsidR="00347718" w:rsidRPr="00347718" w:rsidRDefault="00347718" w:rsidP="00347718">
      <w:pPr>
        <w:numPr>
          <w:ilvl w:val="0"/>
          <w:numId w:val="8"/>
        </w:numPr>
      </w:pPr>
      <w:r w:rsidRPr="00347718">
        <w:t xml:space="preserve">Power BI service features by license type: </w:t>
      </w:r>
      <w:hyperlink r:id="rId5" w:history="1">
        <w:r w:rsidRPr="00347718">
          <w:rPr>
            <w:rStyle w:val="Hyperlink"/>
          </w:rPr>
          <w:t>https://learn.microsoft.com/en-us/power-bi/fundamentals/service-features-license-type</w:t>
        </w:r>
      </w:hyperlink>
    </w:p>
    <w:p w14:paraId="336BBA1A" w14:textId="77777777" w:rsidR="00347718" w:rsidRPr="00347718" w:rsidRDefault="00347718" w:rsidP="00347718">
      <w:pPr>
        <w:numPr>
          <w:ilvl w:val="0"/>
          <w:numId w:val="8"/>
        </w:numPr>
      </w:pPr>
      <w:r w:rsidRPr="00347718">
        <w:t xml:space="preserve">Power BI service description and feature comparison: </w:t>
      </w:r>
      <w:hyperlink r:id="rId6" w:history="1">
        <w:r w:rsidRPr="00347718">
          <w:rPr>
            <w:rStyle w:val="Hyperlink"/>
          </w:rPr>
          <w:t>https://learn.microsoft.com/en-us/office365/servicedescriptions/power-bi-service-description</w:t>
        </w:r>
      </w:hyperlink>
    </w:p>
    <w:p w14:paraId="46CF41A0" w14:textId="77777777" w:rsidR="00347718" w:rsidRPr="00347718" w:rsidRDefault="00347718" w:rsidP="00347718">
      <w:pPr>
        <w:numPr>
          <w:ilvl w:val="0"/>
          <w:numId w:val="8"/>
        </w:numPr>
      </w:pPr>
      <w:r w:rsidRPr="00347718">
        <w:t xml:space="preserve">Configure scheduled refresh: </w:t>
      </w:r>
      <w:hyperlink r:id="rId7" w:history="1">
        <w:r w:rsidRPr="00347718">
          <w:rPr>
            <w:rStyle w:val="Hyperlink"/>
          </w:rPr>
          <w:t>https://learn.microsoft.com/en-us/power-bi/connect-data/refresh-scheduled-refresh</w:t>
        </w:r>
      </w:hyperlink>
    </w:p>
    <w:p w14:paraId="18156A39" w14:textId="77777777" w:rsidR="00347718" w:rsidRPr="00347718" w:rsidRDefault="00347718" w:rsidP="00347718">
      <w:pPr>
        <w:numPr>
          <w:ilvl w:val="0"/>
          <w:numId w:val="8"/>
        </w:numPr>
      </w:pPr>
      <w:r w:rsidRPr="00347718">
        <w:t xml:space="preserve">Export data from a Power BI visualization: </w:t>
      </w:r>
      <w:hyperlink r:id="rId8" w:history="1">
        <w:r w:rsidRPr="00347718">
          <w:rPr>
            <w:rStyle w:val="Hyperlink"/>
          </w:rPr>
          <w:t>https://learn.microsoft.com/en-us/power-bi/visuals/power-bi-visualization-export-data</w:t>
        </w:r>
      </w:hyperlink>
    </w:p>
    <w:p w14:paraId="0898D10C" w14:textId="77777777" w:rsidR="00347718" w:rsidRPr="00347718" w:rsidRDefault="00347718" w:rsidP="00347718">
      <w:pPr>
        <w:numPr>
          <w:ilvl w:val="0"/>
          <w:numId w:val="8"/>
        </w:numPr>
      </w:pPr>
      <w:r w:rsidRPr="00347718">
        <w:t xml:space="preserve">Power BI Premium Per User FAQ: </w:t>
      </w:r>
      <w:hyperlink r:id="rId9" w:history="1">
        <w:r w:rsidRPr="00347718">
          <w:rPr>
            <w:rStyle w:val="Hyperlink"/>
          </w:rPr>
          <w:t>https://learn.microsoft.com/en-us/fabric/enterprise/powerbi/service-premium-per-user-faq</w:t>
        </w:r>
      </w:hyperlink>
    </w:p>
    <w:p w14:paraId="69985FA5" w14:textId="77777777" w:rsidR="00347718" w:rsidRPr="00347718" w:rsidRDefault="00347718" w:rsidP="00347718">
      <w:r w:rsidRPr="00347718">
        <w:t>Regards,</w:t>
      </w:r>
      <w:r w:rsidRPr="00347718">
        <w:br/>
        <w:t>[Your Name]</w:t>
      </w:r>
    </w:p>
    <w:p w14:paraId="70E0A5BD" w14:textId="77777777" w:rsidR="00BF3F72" w:rsidRDefault="00BF3F72"/>
    <w:sectPr w:rsidR="00BF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0A2"/>
    <w:multiLevelType w:val="multilevel"/>
    <w:tmpl w:val="DAB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50AC2"/>
    <w:multiLevelType w:val="multilevel"/>
    <w:tmpl w:val="DC3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937DE"/>
    <w:multiLevelType w:val="multilevel"/>
    <w:tmpl w:val="01A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269DA"/>
    <w:multiLevelType w:val="multilevel"/>
    <w:tmpl w:val="3A5C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17475"/>
    <w:multiLevelType w:val="multilevel"/>
    <w:tmpl w:val="DA2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76425"/>
    <w:multiLevelType w:val="multilevel"/>
    <w:tmpl w:val="4BD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3025A"/>
    <w:multiLevelType w:val="multilevel"/>
    <w:tmpl w:val="BCA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F5DC8"/>
    <w:multiLevelType w:val="multilevel"/>
    <w:tmpl w:val="14FC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134549">
    <w:abstractNumId w:val="0"/>
  </w:num>
  <w:num w:numId="2" w16cid:durableId="303585730">
    <w:abstractNumId w:val="2"/>
  </w:num>
  <w:num w:numId="3" w16cid:durableId="1951012200">
    <w:abstractNumId w:val="5"/>
  </w:num>
  <w:num w:numId="4" w16cid:durableId="1120032698">
    <w:abstractNumId w:val="6"/>
  </w:num>
  <w:num w:numId="5" w16cid:durableId="1358657084">
    <w:abstractNumId w:val="4"/>
  </w:num>
  <w:num w:numId="6" w16cid:durableId="1853494497">
    <w:abstractNumId w:val="3"/>
  </w:num>
  <w:num w:numId="7" w16cid:durableId="130247929">
    <w:abstractNumId w:val="1"/>
  </w:num>
  <w:num w:numId="8" w16cid:durableId="58134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18"/>
    <w:rsid w:val="002F565E"/>
    <w:rsid w:val="00347718"/>
    <w:rsid w:val="00466643"/>
    <w:rsid w:val="00BF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B50FE"/>
  <w15:chartTrackingRefBased/>
  <w15:docId w15:val="{4B23AF39-F6DD-4820-B80F-69734250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18"/>
    <w:rPr>
      <w:rFonts w:eastAsiaTheme="majorEastAsia" w:cstheme="majorBidi"/>
      <w:color w:val="272727" w:themeColor="text1" w:themeTint="D8"/>
    </w:rPr>
  </w:style>
  <w:style w:type="paragraph" w:styleId="Title">
    <w:name w:val="Title"/>
    <w:basedOn w:val="Normal"/>
    <w:next w:val="Normal"/>
    <w:link w:val="TitleChar"/>
    <w:uiPriority w:val="10"/>
    <w:qFormat/>
    <w:rsid w:val="0034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18"/>
    <w:pPr>
      <w:spacing w:before="160"/>
      <w:jc w:val="center"/>
    </w:pPr>
    <w:rPr>
      <w:i/>
      <w:iCs/>
      <w:color w:val="404040" w:themeColor="text1" w:themeTint="BF"/>
    </w:rPr>
  </w:style>
  <w:style w:type="character" w:customStyle="1" w:styleId="QuoteChar">
    <w:name w:val="Quote Char"/>
    <w:basedOn w:val="DefaultParagraphFont"/>
    <w:link w:val="Quote"/>
    <w:uiPriority w:val="29"/>
    <w:rsid w:val="00347718"/>
    <w:rPr>
      <w:i/>
      <w:iCs/>
      <w:color w:val="404040" w:themeColor="text1" w:themeTint="BF"/>
    </w:rPr>
  </w:style>
  <w:style w:type="paragraph" w:styleId="ListParagraph">
    <w:name w:val="List Paragraph"/>
    <w:basedOn w:val="Normal"/>
    <w:uiPriority w:val="34"/>
    <w:qFormat/>
    <w:rsid w:val="00347718"/>
    <w:pPr>
      <w:ind w:left="720"/>
      <w:contextualSpacing/>
    </w:pPr>
  </w:style>
  <w:style w:type="character" w:styleId="IntenseEmphasis">
    <w:name w:val="Intense Emphasis"/>
    <w:basedOn w:val="DefaultParagraphFont"/>
    <w:uiPriority w:val="21"/>
    <w:qFormat/>
    <w:rsid w:val="00347718"/>
    <w:rPr>
      <w:i/>
      <w:iCs/>
      <w:color w:val="0F4761" w:themeColor="accent1" w:themeShade="BF"/>
    </w:rPr>
  </w:style>
  <w:style w:type="paragraph" w:styleId="IntenseQuote">
    <w:name w:val="Intense Quote"/>
    <w:basedOn w:val="Normal"/>
    <w:next w:val="Normal"/>
    <w:link w:val="IntenseQuoteChar"/>
    <w:uiPriority w:val="30"/>
    <w:qFormat/>
    <w:rsid w:val="00347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18"/>
    <w:rPr>
      <w:i/>
      <w:iCs/>
      <w:color w:val="0F4761" w:themeColor="accent1" w:themeShade="BF"/>
    </w:rPr>
  </w:style>
  <w:style w:type="character" w:styleId="IntenseReference">
    <w:name w:val="Intense Reference"/>
    <w:basedOn w:val="DefaultParagraphFont"/>
    <w:uiPriority w:val="32"/>
    <w:qFormat/>
    <w:rsid w:val="00347718"/>
    <w:rPr>
      <w:b/>
      <w:bCs/>
      <w:smallCaps/>
      <w:color w:val="0F4761" w:themeColor="accent1" w:themeShade="BF"/>
      <w:spacing w:val="5"/>
    </w:rPr>
  </w:style>
  <w:style w:type="character" w:styleId="Hyperlink">
    <w:name w:val="Hyperlink"/>
    <w:basedOn w:val="DefaultParagraphFont"/>
    <w:uiPriority w:val="99"/>
    <w:unhideWhenUsed/>
    <w:rsid w:val="00347718"/>
    <w:rPr>
      <w:color w:val="467886" w:themeColor="hyperlink"/>
      <w:u w:val="single"/>
    </w:rPr>
  </w:style>
  <w:style w:type="character" w:styleId="UnresolvedMention">
    <w:name w:val="Unresolved Mention"/>
    <w:basedOn w:val="DefaultParagraphFont"/>
    <w:uiPriority w:val="99"/>
    <w:semiHidden/>
    <w:unhideWhenUsed/>
    <w:rsid w:val="00347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visuals/power-bi-visualization-export-data" TargetMode="External"/><Relationship Id="rId3" Type="http://schemas.openxmlformats.org/officeDocument/2006/relationships/settings" Target="settings.xml"/><Relationship Id="rId7" Type="http://schemas.openxmlformats.org/officeDocument/2006/relationships/hyperlink" Target="https://learn.microsoft.com/en-us/power-bi/connect-data/refresh-scheduled-refre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office365/servicedescriptions/power-bi-service-description" TargetMode="External"/><Relationship Id="rId11" Type="http://schemas.openxmlformats.org/officeDocument/2006/relationships/theme" Target="theme/theme1.xml"/><Relationship Id="rId5" Type="http://schemas.openxmlformats.org/officeDocument/2006/relationships/hyperlink" Target="https://learn.microsoft.com/en-us/power-bi/fundamentals/service-features-license-typ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fabric/enterprise/powerbi/service-premium-per-user-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 s</dc:creator>
  <cp:keywords/>
  <dc:description/>
  <cp:lastModifiedBy>Keerthi k s</cp:lastModifiedBy>
  <cp:revision>1</cp:revision>
  <dcterms:created xsi:type="dcterms:W3CDTF">2026-10-13T05:39:00Z</dcterms:created>
  <dcterms:modified xsi:type="dcterms:W3CDTF">2026-10-13T05:39:00Z</dcterms:modified>
</cp:coreProperties>
</file>