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10" w:rsidRPr="00426110" w:rsidRDefault="00426110" w:rsidP="00426110">
      <w:pPr>
        <w:shd w:val="clear" w:color="auto" w:fill="048EC6"/>
        <w:spacing w:after="0" w:line="255" w:lineRule="atLeast"/>
        <w:jc w:val="center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26110">
        <w:rPr>
          <w:rFonts w:ascii="Helvetica" w:eastAsia="Times New Roman" w:hAnsi="Helvetica" w:cs="Times New Roman"/>
          <w:color w:val="333333"/>
          <w:sz w:val="23"/>
          <w:szCs w:val="23"/>
        </w:rPr>
        <w:fldChar w:fldCharType="begin"/>
      </w:r>
      <w:r w:rsidRPr="00426110">
        <w:rPr>
          <w:rFonts w:ascii="Helvetica" w:eastAsia="Times New Roman" w:hAnsi="Helvetica" w:cs="Times New Roman"/>
          <w:color w:val="333333"/>
          <w:sz w:val="23"/>
          <w:szCs w:val="23"/>
        </w:rPr>
        <w:instrText xml:space="preserve"> HYPERLINK "https://developer.salesforce.com/trailhead/module/business_process_automation" </w:instrText>
      </w:r>
      <w:r w:rsidRPr="00426110">
        <w:rPr>
          <w:rFonts w:ascii="Helvetica" w:eastAsia="Times New Roman" w:hAnsi="Helvetica" w:cs="Times New Roman"/>
          <w:color w:val="333333"/>
          <w:sz w:val="23"/>
          <w:szCs w:val="23"/>
        </w:rPr>
        <w:fldChar w:fldCharType="separate"/>
      </w:r>
      <w:r w:rsidRPr="00426110">
        <w:rPr>
          <w:rFonts w:ascii="Helvetica" w:eastAsia="Times New Roman" w:hAnsi="Helvetica" w:cs="Times New Roman"/>
          <w:color w:val="D9F4FF"/>
          <w:sz w:val="23"/>
          <w:szCs w:val="23"/>
          <w:u w:val="single"/>
        </w:rPr>
        <w:t>Process Automation</w:t>
      </w:r>
      <w:r w:rsidRPr="00426110">
        <w:rPr>
          <w:rFonts w:ascii="Helvetica" w:eastAsia="Times New Roman" w:hAnsi="Helvetica" w:cs="Times New Roman"/>
          <w:color w:val="333333"/>
          <w:sz w:val="23"/>
          <w:szCs w:val="23"/>
        </w:rPr>
        <w:fldChar w:fldCharType="end"/>
      </w:r>
    </w:p>
    <w:p w:rsidR="00426110" w:rsidRPr="00426110" w:rsidRDefault="00426110" w:rsidP="00426110">
      <w:pPr>
        <w:shd w:val="clear" w:color="auto" w:fill="048EC6"/>
        <w:spacing w:after="0" w:line="360" w:lineRule="atLeast"/>
        <w:jc w:val="center"/>
        <w:outlineLvl w:val="0"/>
        <w:rPr>
          <w:rFonts w:ascii="Helvetica" w:eastAsia="Times New Roman" w:hAnsi="Helvetica" w:cs="Times New Roman"/>
          <w:color w:val="D9F4FF"/>
          <w:kern w:val="36"/>
          <w:sz w:val="36"/>
          <w:szCs w:val="36"/>
        </w:rPr>
      </w:pPr>
      <w:r w:rsidRPr="00426110">
        <w:rPr>
          <w:rFonts w:ascii="Helvetica" w:eastAsia="Times New Roman" w:hAnsi="Helvetica" w:cs="Times New Roman"/>
          <w:color w:val="D9F4FF"/>
          <w:kern w:val="36"/>
          <w:sz w:val="36"/>
          <w:szCs w:val="36"/>
        </w:rPr>
        <w:t xml:space="preserve">Figure Out Which Tool </w:t>
      </w:r>
      <w:proofErr w:type="gramStart"/>
      <w:r w:rsidRPr="00426110">
        <w:rPr>
          <w:rFonts w:ascii="Helvetica" w:eastAsia="Times New Roman" w:hAnsi="Helvetica" w:cs="Times New Roman"/>
          <w:color w:val="D9F4FF"/>
          <w:kern w:val="36"/>
          <w:sz w:val="36"/>
          <w:szCs w:val="36"/>
        </w:rPr>
        <w:t>To</w:t>
      </w:r>
      <w:proofErr w:type="gramEnd"/>
      <w:r w:rsidRPr="00426110">
        <w:rPr>
          <w:rFonts w:ascii="Helvetica" w:eastAsia="Times New Roman" w:hAnsi="Helvetica" w:cs="Times New Roman"/>
          <w:color w:val="D9F4FF"/>
          <w:kern w:val="36"/>
          <w:sz w:val="36"/>
          <w:szCs w:val="36"/>
        </w:rPr>
        <w:t xml:space="preserve"> Use</w:t>
      </w:r>
    </w:p>
    <w:p w:rsidR="00426110" w:rsidRDefault="00426110" w:rsidP="00426110">
      <w:r>
        <w:t>http://bit.ly/which_tool</w:t>
      </w:r>
    </w:p>
    <w:p w:rsidR="00426110" w:rsidRPr="00426110" w:rsidRDefault="00426110" w:rsidP="00426110">
      <w:pPr>
        <w:shd w:val="clear" w:color="auto" w:fill="048EC6"/>
        <w:spacing w:after="0" w:line="255" w:lineRule="atLeast"/>
        <w:jc w:val="center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426110">
        <w:rPr>
          <w:rFonts w:ascii="Helvetica" w:eastAsia="Times New Roman" w:hAnsi="Helvetica" w:cs="Times New Roman"/>
          <w:color w:val="333333"/>
          <w:sz w:val="23"/>
          <w:szCs w:val="23"/>
        </w:rPr>
        <w:t> </w:t>
      </w:r>
    </w:p>
    <w:p w:rsidR="00426110" w:rsidRDefault="00426110" w:rsidP="00426110">
      <w:pPr>
        <w:pStyle w:val="Heading2"/>
        <w:shd w:val="clear" w:color="auto" w:fill="E7E7E7"/>
        <w:spacing w:before="0" w:after="450" w:line="390" w:lineRule="atLeast"/>
        <w:rPr>
          <w:rFonts w:ascii="Helvetica" w:hAnsi="Helvetica"/>
          <w:color w:val="333333"/>
          <w:sz w:val="42"/>
          <w:szCs w:val="42"/>
        </w:rPr>
      </w:pPr>
      <w:r>
        <w:rPr>
          <w:rStyle w:val="ph"/>
          <w:rFonts w:ascii="Helvetica" w:hAnsi="Helvetica"/>
          <w:b/>
          <w:bCs/>
          <w:color w:val="333333"/>
        </w:rPr>
        <w:t>Learning Objectives</w:t>
      </w:r>
    </w:p>
    <w:p w:rsidR="00426110" w:rsidRDefault="00426110" w:rsidP="00426110">
      <w:pPr>
        <w:shd w:val="clear" w:color="auto" w:fill="E7E7E7"/>
        <w:spacing w:line="330" w:lineRule="atLeast"/>
        <w:rPr>
          <w:rFonts w:ascii="Helvetica" w:hAnsi="Helvetica"/>
          <w:color w:val="333333"/>
          <w:sz w:val="23"/>
          <w:szCs w:val="23"/>
        </w:rPr>
      </w:pPr>
      <w:bookmarkStart w:id="0" w:name="p2"/>
      <w:bookmarkEnd w:id="0"/>
      <w:r>
        <w:rPr>
          <w:rFonts w:ascii="Helvetica" w:hAnsi="Helvetica"/>
          <w:color w:val="333333"/>
          <w:sz w:val="23"/>
          <w:szCs w:val="23"/>
        </w:rPr>
        <w:t>After completing this unit, you will be able to:</w:t>
      </w:r>
    </w:p>
    <w:p w:rsidR="00426110" w:rsidRDefault="00426110" w:rsidP="00426110">
      <w:pPr>
        <w:numPr>
          <w:ilvl w:val="0"/>
          <w:numId w:val="1"/>
        </w:numPr>
        <w:shd w:val="clear" w:color="auto" w:fill="E7E7E7"/>
        <w:spacing w:before="100" w:beforeAutospacing="1" w:after="100" w:afterAutospacing="1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Describe and compare the different options for automating business processes in Salesforce</w:t>
      </w:r>
    </w:p>
    <w:p w:rsidR="00426110" w:rsidRDefault="00426110" w:rsidP="00426110">
      <w:pPr>
        <w:numPr>
          <w:ilvl w:val="0"/>
          <w:numId w:val="1"/>
        </w:numPr>
        <w:shd w:val="clear" w:color="auto" w:fill="E7E7E7"/>
        <w:spacing w:before="100" w:beforeAutospacing="1" w:after="100" w:afterAutospacing="1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Determine which tool is right for a given use case</w:t>
      </w:r>
    </w:p>
    <w:p w:rsidR="00426110" w:rsidRDefault="00426110" w:rsidP="00426110">
      <w:pPr>
        <w:pStyle w:val="Heading2"/>
        <w:shd w:val="clear" w:color="auto" w:fill="E7E7E7"/>
        <w:spacing w:before="900" w:after="300" w:line="390" w:lineRule="atLeast"/>
        <w:rPr>
          <w:rFonts w:ascii="Helvetica" w:hAnsi="Helvetica"/>
          <w:color w:val="333333"/>
          <w:sz w:val="42"/>
          <w:szCs w:val="42"/>
        </w:rPr>
      </w:pPr>
      <w:bookmarkStart w:id="1" w:name="process_whichtool_intro"/>
      <w:bookmarkEnd w:id="1"/>
      <w:r>
        <w:rPr>
          <w:rStyle w:val="ph"/>
          <w:rFonts w:ascii="Helvetica" w:hAnsi="Helvetica"/>
          <w:b/>
          <w:bCs/>
          <w:color w:val="333333"/>
        </w:rPr>
        <w:t>Salesforce Process Automation Suite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Salesforce provides multiple tools to automate your org’s repetitive business processes: Lightning Process Builder, Visual Workflow, Workflow, and Approvals. The automation tool that you need depends on the type of business process that you’re automating.</w:t>
      </w:r>
    </w:p>
    <w:p w:rsidR="00426110" w:rsidRDefault="00426110" w:rsidP="00426110">
      <w:pPr>
        <w:numPr>
          <w:ilvl w:val="0"/>
          <w:numId w:val="2"/>
        </w:numPr>
        <w:shd w:val="clear" w:color="auto" w:fill="E7E7E7"/>
        <w:spacing w:before="100" w:beforeAutospacing="1" w:after="100" w:afterAutospacing="1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What to do when a record has certain values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Example: Notify an account’s owner when a related case is escalated.</w:t>
      </w:r>
    </w:p>
    <w:p w:rsidR="00426110" w:rsidRDefault="00426110" w:rsidP="00426110">
      <w:pPr>
        <w:numPr>
          <w:ilvl w:val="0"/>
          <w:numId w:val="2"/>
        </w:numPr>
        <w:shd w:val="clear" w:color="auto" w:fill="E7E7E7"/>
        <w:spacing w:before="100" w:beforeAutospacing="1" w:after="100" w:afterAutospacing="1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Collecting information from users or customers and then doing something with that information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Example: Customer support uses a wizard to step through a call script, and cases are created based on the information they enter.</w:t>
      </w:r>
    </w:p>
    <w:p w:rsidR="00426110" w:rsidRDefault="00426110" w:rsidP="00426110">
      <w:pPr>
        <w:numPr>
          <w:ilvl w:val="0"/>
          <w:numId w:val="2"/>
        </w:numPr>
        <w:shd w:val="clear" w:color="auto" w:fill="E7E7E7"/>
        <w:spacing w:before="100" w:beforeAutospacing="1" w:after="100" w:afterAutospacing="1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How a record gets approved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Example: Managers approve their direct reports’ requests for time-off.</w:t>
      </w:r>
    </w:p>
    <w:p w:rsidR="00426110" w:rsidRDefault="00426110" w:rsidP="00426110">
      <w:pPr>
        <w:pStyle w:val="Heading3"/>
        <w:shd w:val="clear" w:color="auto" w:fill="E7E7E7"/>
        <w:spacing w:before="600" w:after="150" w:line="300" w:lineRule="atLeast"/>
        <w:rPr>
          <w:rFonts w:ascii="Helvetica" w:hAnsi="Helvetica"/>
          <w:color w:val="333333"/>
          <w:sz w:val="27"/>
          <w:szCs w:val="27"/>
        </w:rPr>
      </w:pPr>
      <w:bookmarkStart w:id="2" w:name="process_whichtool_recordvalues"/>
      <w:bookmarkEnd w:id="2"/>
      <w:r>
        <w:rPr>
          <w:rStyle w:val="ph"/>
          <w:rFonts w:ascii="Helvetica" w:hAnsi="Helvetica"/>
          <w:color w:val="333333"/>
        </w:rPr>
        <w:t>What to Do When a Record Has Certain Values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This is the most common type of process that you can use Salesforce to automate, and three of our tools address this use case: Process Builder, Visual Workflow, and Workflow.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We recommend starting with Process Builder, especially if your business process boils down to a simple if/then statement. For example: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Style w:val="Strong"/>
          <w:rFonts w:ascii="Helvetica" w:eastAsiaTheme="majorEastAsia" w:hAnsi="Helvetica"/>
          <w:color w:val="333333"/>
          <w:sz w:val="23"/>
          <w:szCs w:val="23"/>
        </w:rPr>
        <w:t>IF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a case is escalated,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Strong"/>
          <w:rFonts w:ascii="Helvetica" w:eastAsiaTheme="majorEastAsia" w:hAnsi="Helvetica"/>
          <w:color w:val="333333"/>
          <w:sz w:val="23"/>
          <w:szCs w:val="23"/>
        </w:rPr>
        <w:t>THEN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notify the owner of the associated account.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t>Process Builder includes almost all the functionality that’s available with Workflow, and then some. In fact, a single process can do what it would normally take multiple workflow rules to do, which helps you avoid limits.</w:t>
      </w:r>
    </w:p>
    <w:p w:rsidR="00426110" w:rsidRDefault="00426110" w:rsidP="00426110">
      <w:pPr>
        <w:shd w:val="clear" w:color="auto" w:fill="E7E7E7"/>
        <w:spacing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There are only two things that you can do with workflow that you can’t do with processes.</w:t>
      </w:r>
    </w:p>
    <w:p w:rsidR="00426110" w:rsidRDefault="00426110" w:rsidP="00426110">
      <w:pPr>
        <w:numPr>
          <w:ilvl w:val="0"/>
          <w:numId w:val="3"/>
        </w:numPr>
        <w:shd w:val="clear" w:color="auto" w:fill="E7E7E7"/>
        <w:spacing w:before="100" w:beforeAutospacing="1" w:after="100" w:afterAutospacing="1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Configure actions to be executed at different times.</w:t>
      </w:r>
    </w:p>
    <w:p w:rsidR="00426110" w:rsidRDefault="00426110" w:rsidP="00426110">
      <w:pPr>
        <w:pStyle w:val="p"/>
        <w:shd w:val="clear" w:color="auto" w:fill="E7E7E7"/>
        <w:spacing w:before="300" w:beforeAutospacing="0" w:after="0" w:afterAutospacing="0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With a process, you can configure actions to be performed later, but all those actions are performed at the same time. If you need multiple “</w:t>
      </w:r>
      <w:proofErr w:type="spellStart"/>
      <w:r>
        <w:rPr>
          <w:rFonts w:ascii="Helvetica" w:hAnsi="Helvetica"/>
          <w:color w:val="333333"/>
          <w:sz w:val="23"/>
          <w:szCs w:val="23"/>
        </w:rPr>
        <w:t>later”s</w:t>
      </w:r>
      <w:proofErr w:type="spellEnd"/>
      <w:r>
        <w:rPr>
          <w:rFonts w:ascii="Helvetica" w:hAnsi="Helvetica"/>
          <w:color w:val="333333"/>
          <w:sz w:val="23"/>
          <w:szCs w:val="23"/>
        </w:rPr>
        <w:t>, use workflow. For example, use multiple time triggers in a workflow rule to send an account manager email reminders one month, two weeks, one week, and three days before the related contract expires.</w:t>
      </w:r>
    </w:p>
    <w:p w:rsidR="00426110" w:rsidRDefault="00426110" w:rsidP="00426110">
      <w:pPr>
        <w:numPr>
          <w:ilvl w:val="0"/>
          <w:numId w:val="3"/>
        </w:numPr>
        <w:shd w:val="clear" w:color="auto" w:fill="E7E7E7"/>
        <w:spacing w:before="100" w:beforeAutospacing="1" w:after="100" w:afterAutospacing="1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Send outbound messages without code. However, you can work around this limitation by calling Apex code from a process.</w:t>
      </w:r>
    </w:p>
    <w:p w:rsidR="00426110" w:rsidRDefault="00426110" w:rsidP="00426110">
      <w:pPr>
        <w:shd w:val="clear" w:color="auto" w:fill="E7E7E7"/>
        <w:spacing w:after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If the process is too complicated for the Process Builder or requires more advanced functionality, create a flow with Visual Workflow. For example, create a flow if you need to:</w:t>
      </w:r>
    </w:p>
    <w:p w:rsidR="00426110" w:rsidRDefault="00426110" w:rsidP="00426110">
      <w:pPr>
        <w:numPr>
          <w:ilvl w:val="0"/>
          <w:numId w:val="4"/>
        </w:numPr>
        <w:shd w:val="clear" w:color="auto" w:fill="E7E7E7"/>
        <w:spacing w:before="100" w:beforeAutospacing="1" w:after="100" w:afterAutospacing="1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Use complex branching logic (that is, if certain conditions are true, evaluate for further conditions)</w:t>
      </w:r>
    </w:p>
    <w:p w:rsidR="00426110" w:rsidRDefault="00426110" w:rsidP="00426110">
      <w:pPr>
        <w:pStyle w:val="p"/>
        <w:shd w:val="clear" w:color="auto" w:fill="E7E7E7"/>
        <w:spacing w:before="300" w:beforeAutospacing="0" w:after="0" w:afterAutospacing="0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Example: First, check whether a case is escalated. Second, check the account’s region and route the case accordingly.</w:t>
      </w:r>
    </w:p>
    <w:p w:rsidR="00426110" w:rsidRDefault="00426110" w:rsidP="00426110">
      <w:pPr>
        <w:numPr>
          <w:ilvl w:val="0"/>
          <w:numId w:val="4"/>
        </w:numPr>
        <w:shd w:val="clear" w:color="auto" w:fill="E7E7E7"/>
        <w:spacing w:before="100" w:beforeAutospacing="1" w:after="100" w:afterAutospacing="1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Sort through, iterate over, and operate on several records</w:t>
      </w:r>
    </w:p>
    <w:p w:rsidR="00426110" w:rsidRDefault="00426110" w:rsidP="00426110">
      <w:pPr>
        <w:pStyle w:val="p"/>
        <w:shd w:val="clear" w:color="auto" w:fill="E7E7E7"/>
        <w:spacing w:before="300" w:beforeAutospacing="0" w:after="0" w:afterAutospacing="0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Example: After an opportunity is closed and won, calculate the opportunity’s discount. Then apply that discount to all the related opportunity products.</w:t>
      </w:r>
    </w:p>
    <w:p w:rsidR="00426110" w:rsidRDefault="00426110" w:rsidP="00426110">
      <w:pPr>
        <w:pStyle w:val="Heading3"/>
        <w:shd w:val="clear" w:color="auto" w:fill="E7E7E7"/>
        <w:spacing w:before="600" w:after="150" w:line="300" w:lineRule="atLeast"/>
        <w:rPr>
          <w:rFonts w:ascii="Helvetica" w:hAnsi="Helvetica"/>
          <w:color w:val="333333"/>
          <w:sz w:val="27"/>
          <w:szCs w:val="27"/>
        </w:rPr>
      </w:pPr>
      <w:bookmarkStart w:id="3" w:name="process_whichtool_wizard"/>
      <w:bookmarkEnd w:id="3"/>
      <w:r>
        <w:rPr>
          <w:rStyle w:val="ph"/>
          <w:rFonts w:ascii="Helvetica" w:hAnsi="Helvetica"/>
          <w:color w:val="333333"/>
        </w:rPr>
        <w:t>Get Information from Users or Customers and Do Something with It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If you need to build a wizard to collect information, Visual Workflow is the tool for you. Create a flow that displays information to and requests information from users. Then take the information that they enter and perform actions in Salesforce with it.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For example, create a flow that walks customer support representatives through a call script. At the end, the flow uses information that the representative entered, such as the caller’s name and account number, to create a case and route it to the right person.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You can add more complexity to the flow to match your business process, such as:</w:t>
      </w:r>
    </w:p>
    <w:p w:rsidR="00426110" w:rsidRDefault="00426110" w:rsidP="00426110">
      <w:pPr>
        <w:pStyle w:val="p"/>
        <w:numPr>
          <w:ilvl w:val="0"/>
          <w:numId w:val="5"/>
        </w:numPr>
        <w:shd w:val="clear" w:color="auto" w:fill="E7E7E7"/>
        <w:spacing w:before="300" w:beforeAutospacing="0" w:after="300" w:afterAutospacing="0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Route the representative to different screens, depending on earlier choices. This prevents the representative from doing things like trying to upsell a product to a customer who already bought that product.</w:t>
      </w:r>
    </w:p>
    <w:p w:rsidR="00426110" w:rsidRDefault="00426110" w:rsidP="00426110">
      <w:pPr>
        <w:numPr>
          <w:ilvl w:val="0"/>
          <w:numId w:val="5"/>
        </w:numPr>
        <w:shd w:val="clear" w:color="auto" w:fill="E7E7E7"/>
        <w:spacing w:before="100" w:beforeAutospacing="1" w:after="100" w:afterAutospacing="1" w:line="330" w:lineRule="atLeast"/>
        <w:ind w:left="37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t>Check if the reported problem is blocking the customer’s business and the account is high-value. If so, the flow notifies the region director.</w:t>
      </w:r>
    </w:p>
    <w:p w:rsidR="00426110" w:rsidRDefault="00426110" w:rsidP="00426110">
      <w:pPr>
        <w:pStyle w:val="Heading3"/>
        <w:shd w:val="clear" w:color="auto" w:fill="E7E7E7"/>
        <w:spacing w:before="600" w:after="150" w:line="300" w:lineRule="atLeast"/>
        <w:rPr>
          <w:rFonts w:ascii="Helvetica" w:hAnsi="Helvetica"/>
          <w:color w:val="333333"/>
          <w:sz w:val="27"/>
          <w:szCs w:val="27"/>
        </w:rPr>
      </w:pPr>
      <w:bookmarkStart w:id="4" w:name="process_whichtool_approve"/>
      <w:bookmarkEnd w:id="4"/>
      <w:r>
        <w:rPr>
          <w:rStyle w:val="ph"/>
          <w:rFonts w:ascii="Helvetica" w:hAnsi="Helvetica"/>
          <w:color w:val="333333"/>
        </w:rPr>
        <w:t>How a Record Gets Approved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For example, when an employee requests time off, that time has to be approved by the employee’s manager. You need to ensure that when a time-off request is submitted for approval, the right person (the employee’s manager) receives the request.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To automate your org’s process of approving records, use Approvals.</w:t>
      </w:r>
    </w:p>
    <w:p w:rsidR="00426110" w:rsidRDefault="00426110" w:rsidP="00426110">
      <w:pPr>
        <w:pStyle w:val="Heading2"/>
        <w:shd w:val="clear" w:color="auto" w:fill="E7E7E7"/>
        <w:spacing w:before="900" w:after="300" w:line="390" w:lineRule="atLeast"/>
        <w:rPr>
          <w:rFonts w:ascii="Helvetica" w:hAnsi="Helvetica"/>
          <w:color w:val="333333"/>
          <w:sz w:val="42"/>
          <w:szCs w:val="42"/>
        </w:rPr>
      </w:pPr>
      <w:bookmarkStart w:id="5" w:name="process_whichtool_featurecomparison"/>
      <w:bookmarkStart w:id="6" w:name="topic-title"/>
      <w:bookmarkEnd w:id="5"/>
      <w:bookmarkEnd w:id="6"/>
      <w:r>
        <w:rPr>
          <w:rStyle w:val="ph"/>
          <w:rFonts w:ascii="Helvetica" w:hAnsi="Helvetica"/>
          <w:b/>
          <w:bCs/>
          <w:color w:val="333333"/>
        </w:rPr>
        <w:t>Automation Tool Features</w:t>
      </w:r>
    </w:p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Here’s a breakdown of all the features and actions that are supported in each automation tool. Use it to determine which tool is best for your business needs.</w:t>
      </w:r>
    </w:p>
    <w:tbl>
      <w:tblPr>
        <w:tblW w:w="11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182"/>
        <w:gridCol w:w="2182"/>
        <w:gridCol w:w="2223"/>
        <w:gridCol w:w="1694"/>
        <w:gridCol w:w="2733"/>
      </w:tblGrid>
      <w:tr w:rsidR="00426110" w:rsidTr="00426110">
        <w:trPr>
          <w:trHeight w:val="141"/>
          <w:tblHeader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24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EDEDE"/>
              <w:bottom w:val="single" w:sz="24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/>
              <w:jc w:val="center"/>
              <w:rPr>
                <w:rFonts w:ascii="Helvetica" w:hAnsi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Process Builder</w:t>
            </w:r>
          </w:p>
        </w:tc>
        <w:tc>
          <w:tcPr>
            <w:tcW w:w="0" w:type="auto"/>
            <w:tcBorders>
              <w:top w:val="single" w:sz="6" w:space="0" w:color="DEDEDE"/>
              <w:bottom w:val="single" w:sz="24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/>
              <w:jc w:val="center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Visual Workflow</w:t>
            </w:r>
          </w:p>
        </w:tc>
        <w:tc>
          <w:tcPr>
            <w:tcW w:w="0" w:type="auto"/>
            <w:tcBorders>
              <w:top w:val="single" w:sz="6" w:space="0" w:color="DEDEDE"/>
              <w:bottom w:val="single" w:sz="24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/>
              <w:jc w:val="center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Workflow</w:t>
            </w:r>
          </w:p>
        </w:tc>
        <w:tc>
          <w:tcPr>
            <w:tcW w:w="0" w:type="auto"/>
            <w:tcBorders>
              <w:top w:val="single" w:sz="6" w:space="0" w:color="DEDEDE"/>
              <w:bottom w:val="single" w:sz="24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/>
              <w:jc w:val="center"/>
              <w:rPr>
                <w:rFonts w:ascii="Helvetica" w:hAnsi="Helvetica"/>
                <w:b/>
                <w:bCs/>
                <w:color w:val="333333"/>
              </w:rPr>
            </w:pPr>
            <w:r>
              <w:rPr>
                <w:rFonts w:ascii="Helvetica" w:hAnsi="Helvetica"/>
                <w:b/>
                <w:bCs/>
                <w:color w:val="333333"/>
              </w:rPr>
              <w:t>Approvals</w:t>
            </w:r>
          </w:p>
        </w:tc>
      </w:tr>
      <w:tr w:rsidR="00426110" w:rsidTr="00426110">
        <w:trPr>
          <w:trHeight w:val="141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Complexity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Multiple if/then statements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Complex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A single if/then statement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A single if/then statement</w:t>
            </w:r>
          </w:p>
        </w:tc>
      </w:tr>
      <w:tr w:rsidR="00426110" w:rsidTr="00426110">
        <w:trPr>
          <w:trHeight w:val="141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Visual designer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618F08B6" wp14:editId="474E1B23">
                  <wp:extent cx="152400" cy="152400"/>
                  <wp:effectExtent l="0" t="0" r="0" b="0"/>
                  <wp:docPr id="24" name="Picture 24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1A73F292" wp14:editId="6D2D913F">
                  <wp:extent cx="152400" cy="152400"/>
                  <wp:effectExtent l="0" t="0" r="0" b="0"/>
                  <wp:docPr id="23" name="Picture 23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sz w:val="20"/>
                <w:szCs w:val="20"/>
              </w:rPr>
            </w:pPr>
          </w:p>
        </w:tc>
      </w:tr>
      <w:tr w:rsidR="00426110" w:rsidTr="00426110">
        <w:trPr>
          <w:trHeight w:val="141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Browser support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All (Chrome recommended)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All (Safari not recommended)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All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All</w:t>
            </w:r>
          </w:p>
        </w:tc>
      </w:tr>
      <w:tr w:rsidR="00426110" w:rsidTr="00426110">
        <w:trPr>
          <w:trHeight w:val="141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Starts when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45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Record is changed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ind w:left="375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User clicks button or link</w:t>
            </w:r>
          </w:p>
          <w:p w:rsidR="00426110" w:rsidRDefault="0042611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ind w:left="375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User accesses custom tab</w:t>
            </w:r>
          </w:p>
          <w:p w:rsidR="00426110" w:rsidRDefault="0042611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ind w:left="375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lastRenderedPageBreak/>
              <w:t>Process starts</w:t>
            </w:r>
          </w:p>
          <w:p w:rsidR="00426110" w:rsidRDefault="00426110">
            <w:pPr>
              <w:numPr>
                <w:ilvl w:val="0"/>
                <w:numId w:val="6"/>
              </w:numPr>
              <w:spacing w:before="100" w:beforeAutospacing="1" w:after="100" w:afterAutospacing="1" w:line="330" w:lineRule="atLeast"/>
              <w:ind w:left="375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Apex is called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lastRenderedPageBreak/>
              <w:t>Record is changed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ind w:left="375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User clicks button or link</w:t>
            </w:r>
          </w:p>
          <w:p w:rsidR="00426110" w:rsidRDefault="00426110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ind w:left="375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Process or flow starts that includes a “Submit for Approval” action</w:t>
            </w:r>
          </w:p>
          <w:p w:rsidR="00426110" w:rsidRDefault="00426110">
            <w:pPr>
              <w:numPr>
                <w:ilvl w:val="0"/>
                <w:numId w:val="7"/>
              </w:numPr>
              <w:spacing w:before="100" w:beforeAutospacing="1" w:after="100" w:afterAutospacing="1" w:line="330" w:lineRule="atLeast"/>
              <w:ind w:left="375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lastRenderedPageBreak/>
              <w:t>Apex is called</w:t>
            </w:r>
          </w:p>
        </w:tc>
      </w:tr>
      <w:tr w:rsidR="00426110" w:rsidTr="00426110">
        <w:trPr>
          <w:trHeight w:val="640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after="0"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lastRenderedPageBreak/>
              <w:t>Supports time-based actions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0829FF4C" wp14:editId="4E33BF2E">
                  <wp:extent cx="152400" cy="152400"/>
                  <wp:effectExtent l="0" t="0" r="0" b="0"/>
                  <wp:docPr id="22" name="Picture 22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323A26DF" wp14:editId="7BF206B6">
                  <wp:extent cx="152400" cy="152400"/>
                  <wp:effectExtent l="0" t="0" r="0" b="0"/>
                  <wp:docPr id="21" name="Picture 21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0EF85BD2" wp14:editId="68E749C0">
                  <wp:extent cx="152400" cy="152400"/>
                  <wp:effectExtent l="0" t="0" r="0" b="0"/>
                  <wp:docPr id="20" name="Picture 20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</w:tr>
      <w:tr w:rsidR="00426110" w:rsidTr="00426110">
        <w:trPr>
          <w:trHeight w:val="797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Supports user interaction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0C052903" wp14:editId="3D031EE6">
                  <wp:extent cx="152400" cy="152400"/>
                  <wp:effectExtent l="0" t="0" r="0" b="0"/>
                  <wp:docPr id="19" name="Picture 19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sz w:val="20"/>
                <w:szCs w:val="20"/>
              </w:rPr>
            </w:pPr>
          </w:p>
        </w:tc>
      </w:tr>
      <w:tr w:rsidR="00426110" w:rsidTr="00426110">
        <w:trPr>
          <w:trHeight w:val="472"/>
        </w:trPr>
        <w:tc>
          <w:tcPr>
            <w:tcW w:w="0" w:type="auto"/>
            <w:gridSpan w:val="5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Supported Actions</w:t>
            </w:r>
          </w:p>
        </w:tc>
      </w:tr>
      <w:tr w:rsidR="00426110" w:rsidTr="00426110">
        <w:trPr>
          <w:trHeight w:val="472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Call Apex code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3BC529FB" wp14:editId="15E86684">
                  <wp:extent cx="152400" cy="152400"/>
                  <wp:effectExtent l="0" t="0" r="0" b="0"/>
                  <wp:docPr id="18" name="Picture 18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0FB191C0" wp14:editId="2A312447">
                  <wp:extent cx="152400" cy="152400"/>
                  <wp:effectExtent l="0" t="0" r="0" b="0"/>
                  <wp:docPr id="17" name="Picture 17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sz w:val="20"/>
                <w:szCs w:val="20"/>
              </w:rPr>
            </w:pPr>
          </w:p>
        </w:tc>
      </w:tr>
      <w:tr w:rsidR="00426110" w:rsidTr="00426110">
        <w:trPr>
          <w:trHeight w:val="472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Create records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3A49941B" wp14:editId="33C3A142">
                  <wp:extent cx="152400" cy="152400"/>
                  <wp:effectExtent l="0" t="0" r="0" b="0"/>
                  <wp:docPr id="16" name="Picture 16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730E2575" wp14:editId="00BFFA76">
                  <wp:extent cx="152400" cy="152400"/>
                  <wp:effectExtent l="0" t="0" r="0" b="0"/>
                  <wp:docPr id="15" name="Picture 15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Tasks only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Tasks only</w:t>
            </w:r>
          </w:p>
        </w:tc>
      </w:tr>
      <w:tr w:rsidR="00426110" w:rsidTr="00426110">
        <w:trPr>
          <w:trHeight w:val="472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Delete records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5FF82535" wp14:editId="4DB83FC4">
                  <wp:extent cx="152400" cy="152400"/>
                  <wp:effectExtent l="0" t="0" r="0" b="0"/>
                  <wp:docPr id="14" name="Picture 14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sz w:val="20"/>
                <w:szCs w:val="20"/>
              </w:rPr>
            </w:pPr>
          </w:p>
        </w:tc>
      </w:tr>
      <w:tr w:rsidR="00426110" w:rsidTr="00426110">
        <w:trPr>
          <w:trHeight w:val="472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Launch a flow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30731B85" wp14:editId="4AF38493">
                  <wp:extent cx="152400" cy="152400"/>
                  <wp:effectExtent l="0" t="0" r="0" b="0"/>
                  <wp:docPr id="13" name="Picture 13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7B31CB46" wp14:editId="40502E65">
                  <wp:extent cx="152400" cy="152400"/>
                  <wp:effectExtent l="0" t="0" r="0" b="0"/>
                  <wp:docPr id="12" name="Picture 12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5F10BD2B" wp14:editId="20360AB7">
                  <wp:extent cx="152400" cy="152400"/>
                  <wp:effectExtent l="0" t="0" r="0" b="0"/>
                  <wp:docPr id="11" name="Picture 11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/>
                <w:color w:val="333333"/>
                <w:sz w:val="23"/>
                <w:szCs w:val="23"/>
              </w:rPr>
              <w:t> </w:t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>(Pilot)</w:t>
            </w:r>
            <w:r>
              <w:rPr>
                <w:rFonts w:ascii="Helvetica" w:hAnsi="Helvetica"/>
                <w:color w:val="333333"/>
                <w:sz w:val="23"/>
                <w:szCs w:val="23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</w:tr>
      <w:tr w:rsidR="00426110" w:rsidTr="00426110">
        <w:trPr>
          <w:trHeight w:val="472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Post to Chatter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5445DE21" wp14:editId="1767750D">
                  <wp:extent cx="152400" cy="152400"/>
                  <wp:effectExtent l="0" t="0" r="0" b="0"/>
                  <wp:docPr id="10" name="Picture 10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77023E20" wp14:editId="2C1639A1">
                  <wp:extent cx="152400" cy="152400"/>
                  <wp:effectExtent l="0" t="0" r="0" b="0"/>
                  <wp:docPr id="9" name="Picture 9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sz w:val="20"/>
                <w:szCs w:val="20"/>
              </w:rPr>
            </w:pPr>
          </w:p>
        </w:tc>
      </w:tr>
      <w:tr w:rsidR="00426110" w:rsidTr="00426110">
        <w:trPr>
          <w:trHeight w:val="797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Send email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6BAD8D75" wp14:editId="7C18B5A4">
                  <wp:extent cx="152400" cy="152400"/>
                  <wp:effectExtent l="0" t="0" r="0" b="0"/>
                  <wp:docPr id="8" name="Picture 8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>(Email alerts only)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5AFD4365" wp14:editId="410F6C68">
                  <wp:extent cx="152400" cy="152400"/>
                  <wp:effectExtent l="0" t="0" r="0" b="0"/>
                  <wp:docPr id="7" name="Picture 7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07BEAF25" wp14:editId="3951DE5B">
                  <wp:extent cx="152400" cy="152400"/>
                  <wp:effectExtent l="0" t="0" r="0" b="0"/>
                  <wp:docPr id="6" name="Picture 6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>(Email alerts only)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14CC2094" wp14:editId="760A873C">
                  <wp:extent cx="152400" cy="152400"/>
                  <wp:effectExtent l="0" t="0" r="0" b="0"/>
                  <wp:docPr id="5" name="Picture 5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/>
                <w:color w:val="333333"/>
                <w:sz w:val="23"/>
                <w:szCs w:val="23"/>
              </w:rPr>
              <w:t>(Email alerts only)</w:t>
            </w:r>
          </w:p>
        </w:tc>
      </w:tr>
      <w:tr w:rsidR="00426110" w:rsidTr="00426110">
        <w:trPr>
          <w:trHeight w:val="1122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Send outbound messages without code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0CF2EEDA" wp14:editId="5EC1E3F4">
                  <wp:extent cx="152400" cy="152400"/>
                  <wp:effectExtent l="0" t="0" r="0" b="0"/>
                  <wp:docPr id="4" name="Picture 4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4F5301C6" wp14:editId="3E77E59E">
                  <wp:extent cx="152400" cy="152400"/>
                  <wp:effectExtent l="0" t="0" r="0" b="0"/>
                  <wp:docPr id="3" name="Picture 3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110" w:rsidTr="00426110">
        <w:trPr>
          <w:trHeight w:val="817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lastRenderedPageBreak/>
              <w:t>Submit for approval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18B0AC54" wp14:editId="4CCFC265">
                  <wp:extent cx="152400" cy="152400"/>
                  <wp:effectExtent l="0" t="0" r="0" b="0"/>
                  <wp:docPr id="2" name="Picture 2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noProof/>
                <w:color w:val="333333"/>
                <w:sz w:val="23"/>
                <w:szCs w:val="23"/>
              </w:rPr>
              <w:drawing>
                <wp:inline distT="0" distB="0" distL="0" distR="0" wp14:anchorId="59617927" wp14:editId="0B71AC8E">
                  <wp:extent cx="152400" cy="152400"/>
                  <wp:effectExtent l="0" t="0" r="0" b="0"/>
                  <wp:docPr id="1" name="Picture 1" descr="check icon indicating 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heck icon indicating 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sz w:val="20"/>
                <w:szCs w:val="20"/>
              </w:rPr>
            </w:pPr>
          </w:p>
        </w:tc>
      </w:tr>
      <w:tr w:rsidR="00426110" w:rsidTr="00426110">
        <w:trPr>
          <w:trHeight w:val="807"/>
        </w:trPr>
        <w:tc>
          <w:tcPr>
            <w:tcW w:w="0" w:type="auto"/>
            <w:tcBorders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Style w:val="Strong"/>
                <w:rFonts w:ascii="Helvetica" w:hAnsi="Helvetica"/>
                <w:color w:val="333333"/>
                <w:sz w:val="23"/>
                <w:szCs w:val="23"/>
              </w:rPr>
              <w:t>Update fields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Any related record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Any record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The record or its parent</w:t>
            </w:r>
          </w:p>
        </w:tc>
        <w:tc>
          <w:tcPr>
            <w:tcW w:w="0" w:type="auto"/>
            <w:tcBorders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:rsidR="00426110" w:rsidRDefault="00426110">
            <w:pPr>
              <w:spacing w:line="330" w:lineRule="atLeast"/>
              <w:jc w:val="center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The record or its parent</w:t>
            </w:r>
          </w:p>
        </w:tc>
      </w:tr>
    </w:tbl>
    <w:p w:rsidR="00426110" w:rsidRDefault="00426110" w:rsidP="00426110">
      <w:pPr>
        <w:pStyle w:val="p"/>
        <w:shd w:val="clear" w:color="auto" w:fill="E7E7E7"/>
        <w:spacing w:before="300" w:beforeAutospacing="0" w:after="300" w:afterAutospacing="0" w:line="330" w:lineRule="atLeast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  <w:vertAlign w:val="superscript"/>
        </w:rPr>
        <w:t>1</w:t>
      </w:r>
      <w:r>
        <w:rPr>
          <w:rFonts w:ascii="Helvetica" w:hAnsi="Helvetica"/>
          <w:color w:val="333333"/>
          <w:sz w:val="23"/>
          <w:szCs w:val="23"/>
        </w:rPr>
        <w:t>The Process Builder has superseded flow trigger workflow actions, previously available in a pilot program. Orgs that are using flow trigger workflow actions can continue to create and edit them, but they aren’t available for new orgs.</w:t>
      </w:r>
    </w:p>
    <w:p w:rsidR="00457A42" w:rsidRDefault="009653F1">
      <w:r>
        <w:rPr>
          <w:noProof/>
        </w:rPr>
        <w:drawing>
          <wp:inline distT="0" distB="0" distL="0" distR="0" wp14:anchorId="3AF57BB1" wp14:editId="4900EE14">
            <wp:extent cx="4756394" cy="273064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457A42" w:rsidSect="00426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55AB"/>
    <w:multiLevelType w:val="multilevel"/>
    <w:tmpl w:val="8FFA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47C53"/>
    <w:multiLevelType w:val="multilevel"/>
    <w:tmpl w:val="8D2C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7A6472"/>
    <w:multiLevelType w:val="multilevel"/>
    <w:tmpl w:val="74B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25244"/>
    <w:multiLevelType w:val="multilevel"/>
    <w:tmpl w:val="953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131EF1"/>
    <w:multiLevelType w:val="multilevel"/>
    <w:tmpl w:val="6900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0A3D07"/>
    <w:multiLevelType w:val="multilevel"/>
    <w:tmpl w:val="DBEA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D54389"/>
    <w:multiLevelType w:val="multilevel"/>
    <w:tmpl w:val="617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F5"/>
    <w:rsid w:val="00426110"/>
    <w:rsid w:val="00457A42"/>
    <w:rsid w:val="009653F1"/>
    <w:rsid w:val="00C0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EC65D-3761-426A-A94B-938286E5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1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261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6110"/>
  </w:style>
  <w:style w:type="character" w:customStyle="1" w:styleId="Heading2Char">
    <w:name w:val="Heading 2 Char"/>
    <w:basedOn w:val="DefaultParagraphFont"/>
    <w:link w:val="Heading2"/>
    <w:uiPriority w:val="9"/>
    <w:semiHidden/>
    <w:rsid w:val="004261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1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h">
    <w:name w:val="ph"/>
    <w:basedOn w:val="DefaultParagraphFont"/>
    <w:rsid w:val="00426110"/>
  </w:style>
  <w:style w:type="paragraph" w:customStyle="1" w:styleId="p">
    <w:name w:val="p"/>
    <w:basedOn w:val="Normal"/>
    <w:rsid w:val="00426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36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5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Penumuchu, Keerthi Pratap</dc:creator>
  <cp:keywords/>
  <dc:description/>
  <cp:lastModifiedBy>Penumuchu, Keerthi Pratap</cp:lastModifiedBy>
  <cp:revision>3</cp:revision>
  <dcterms:created xsi:type="dcterms:W3CDTF">2016-08-11T18:43:00Z</dcterms:created>
  <dcterms:modified xsi:type="dcterms:W3CDTF">2016-08-11T19:17:00Z</dcterms:modified>
</cp:coreProperties>
</file>