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675C" w14:textId="11013FD1" w:rsidR="00240094" w:rsidRPr="00240094" w:rsidRDefault="00E877F4" w:rsidP="00240094">
      <w:r w:rsidRPr="00E877F4">
        <w:t xml:space="preserve">The objective of this data analysis by </w:t>
      </w:r>
      <w:proofErr w:type="spellStart"/>
      <w:r w:rsidRPr="00E877F4">
        <w:t>Pymaceuticals</w:t>
      </w:r>
      <w:proofErr w:type="spellEnd"/>
      <w:r w:rsidRPr="00E877F4">
        <w:t xml:space="preserve"> is to assess the efficacy of four treatments—</w:t>
      </w:r>
      <w:proofErr w:type="spellStart"/>
      <w:r w:rsidRPr="00E877F4">
        <w:t>Capomulin</w:t>
      </w:r>
      <w:proofErr w:type="spellEnd"/>
      <w:r w:rsidRPr="00E877F4">
        <w:t xml:space="preserve">, </w:t>
      </w:r>
      <w:proofErr w:type="spellStart"/>
      <w:r w:rsidRPr="00E877F4">
        <w:t>Ramicane</w:t>
      </w:r>
      <w:proofErr w:type="spellEnd"/>
      <w:r w:rsidRPr="00E877F4">
        <w:t xml:space="preserve">, </w:t>
      </w:r>
      <w:proofErr w:type="spellStart"/>
      <w:r w:rsidRPr="00E877F4">
        <w:t>Infubinol</w:t>
      </w:r>
      <w:proofErr w:type="spellEnd"/>
      <w:r w:rsidRPr="00E877F4">
        <w:t xml:space="preserve">, and </w:t>
      </w:r>
      <w:proofErr w:type="spellStart"/>
      <w:r w:rsidRPr="00E877F4">
        <w:t>Ceftamin</w:t>
      </w:r>
      <w:proofErr w:type="spellEnd"/>
      <w:r w:rsidRPr="00E877F4">
        <w:t xml:space="preserve">—in reducing tumor size. The analysis evaluates the impact of these drugs on tumor outcomes, </w:t>
      </w:r>
      <w:proofErr w:type="gramStart"/>
      <w:r w:rsidRPr="00E877F4">
        <w:t>taking into account</w:t>
      </w:r>
      <w:proofErr w:type="gramEnd"/>
      <w:r w:rsidRPr="00E877F4">
        <w:t xml:space="preserve"> factors such as age, sex, and weight of the mice. The effectiveness of each drug is measured through various metrics based on the observed tumor size changes over the course of the study.</w:t>
      </w:r>
      <w:r>
        <w:br/>
      </w:r>
      <w:proofErr w:type="spellStart"/>
      <w:r w:rsidR="00240094" w:rsidRPr="00240094">
        <w:t>Capomulin</w:t>
      </w:r>
      <w:proofErr w:type="spellEnd"/>
      <w:r w:rsidR="00240094" w:rsidRPr="00240094">
        <w:t xml:space="preserve">: </w:t>
      </w:r>
    </w:p>
    <w:p w14:paraId="703F3DD6" w14:textId="77777777" w:rsidR="00240094" w:rsidRPr="00240094" w:rsidRDefault="00240094" w:rsidP="00240094">
      <w:pPr>
        <w:numPr>
          <w:ilvl w:val="0"/>
          <w:numId w:val="1"/>
        </w:numPr>
      </w:pPr>
      <w:r w:rsidRPr="00240094">
        <w:sym w:font="Symbol" w:char="F0B7"/>
      </w:r>
      <w:r w:rsidRPr="00240094">
        <w:t xml:space="preserve">  Lower Boundary: 20.7 </w:t>
      </w:r>
    </w:p>
    <w:p w14:paraId="45343FE4" w14:textId="77777777" w:rsidR="00240094" w:rsidRPr="00240094" w:rsidRDefault="00240094" w:rsidP="00240094">
      <w:pPr>
        <w:numPr>
          <w:ilvl w:val="0"/>
          <w:numId w:val="1"/>
        </w:numPr>
      </w:pPr>
      <w:r w:rsidRPr="00240094">
        <w:sym w:font="Symbol" w:char="F0B7"/>
      </w:r>
      <w:r w:rsidRPr="00240094">
        <w:t xml:space="preserve">  Upper Boundary: 51.8 </w:t>
      </w:r>
    </w:p>
    <w:p w14:paraId="0083DF21" w14:textId="77777777" w:rsidR="00240094" w:rsidRPr="00240094" w:rsidRDefault="00240094" w:rsidP="00240094">
      <w:pPr>
        <w:numPr>
          <w:ilvl w:val="0"/>
          <w:numId w:val="1"/>
        </w:numPr>
      </w:pPr>
      <w:r w:rsidRPr="00240094">
        <w:sym w:font="Symbol" w:char="F0B7"/>
      </w:r>
      <w:r w:rsidRPr="00240094">
        <w:t xml:space="preserve">  IQR: 7.782 </w:t>
      </w:r>
    </w:p>
    <w:p w14:paraId="5E13AB89" w14:textId="77777777" w:rsidR="00240094" w:rsidRPr="00240094" w:rsidRDefault="00240094" w:rsidP="00240094">
      <w:proofErr w:type="spellStart"/>
      <w:r w:rsidRPr="00240094">
        <w:t>Ramicane</w:t>
      </w:r>
      <w:proofErr w:type="spellEnd"/>
      <w:r w:rsidRPr="00240094">
        <w:t xml:space="preserve">: </w:t>
      </w:r>
    </w:p>
    <w:p w14:paraId="33A8899A" w14:textId="77777777" w:rsidR="00240094" w:rsidRPr="00240094" w:rsidRDefault="00240094" w:rsidP="00240094">
      <w:pPr>
        <w:numPr>
          <w:ilvl w:val="0"/>
          <w:numId w:val="2"/>
        </w:numPr>
      </w:pPr>
      <w:r w:rsidRPr="00240094">
        <w:sym w:font="Symbol" w:char="F0B7"/>
      </w:r>
      <w:r w:rsidRPr="00240094">
        <w:t xml:space="preserve">  Lower Boundary: 17.9 </w:t>
      </w:r>
    </w:p>
    <w:p w14:paraId="63B3AE49" w14:textId="77777777" w:rsidR="00240094" w:rsidRPr="00240094" w:rsidRDefault="00240094" w:rsidP="00240094">
      <w:pPr>
        <w:numPr>
          <w:ilvl w:val="0"/>
          <w:numId w:val="2"/>
        </w:numPr>
      </w:pPr>
      <w:r w:rsidRPr="00240094">
        <w:sym w:font="Symbol" w:char="F0B7"/>
      </w:r>
      <w:r w:rsidRPr="00240094">
        <w:t xml:space="preserve">  Upper Boundary: 54.3 </w:t>
      </w:r>
    </w:p>
    <w:p w14:paraId="7F322273" w14:textId="77777777" w:rsidR="00240094" w:rsidRPr="00240094" w:rsidRDefault="00240094" w:rsidP="00240094">
      <w:pPr>
        <w:numPr>
          <w:ilvl w:val="0"/>
          <w:numId w:val="2"/>
        </w:numPr>
      </w:pPr>
      <w:r w:rsidRPr="00240094">
        <w:sym w:font="Symbol" w:char="F0B7"/>
      </w:r>
      <w:r w:rsidRPr="00240094">
        <w:t xml:space="preserve">  IQR: 9.099 </w:t>
      </w:r>
    </w:p>
    <w:p w14:paraId="41608040" w14:textId="77777777" w:rsidR="00240094" w:rsidRPr="00240094" w:rsidRDefault="00240094" w:rsidP="00240094">
      <w:proofErr w:type="spellStart"/>
      <w:r w:rsidRPr="00240094">
        <w:t>Infubinol</w:t>
      </w:r>
      <w:proofErr w:type="spellEnd"/>
      <w:r w:rsidRPr="00240094">
        <w:t xml:space="preserve">: </w:t>
      </w:r>
    </w:p>
    <w:p w14:paraId="2E24F570" w14:textId="77777777" w:rsidR="00240094" w:rsidRPr="00240094" w:rsidRDefault="00240094" w:rsidP="00240094">
      <w:pPr>
        <w:numPr>
          <w:ilvl w:val="0"/>
          <w:numId w:val="3"/>
        </w:numPr>
      </w:pPr>
      <w:r w:rsidRPr="00240094">
        <w:sym w:font="Symbol" w:char="F0B7"/>
      </w:r>
      <w:r w:rsidRPr="00240094">
        <w:t xml:space="preserve">  Lower Boundary: 36.8 </w:t>
      </w:r>
    </w:p>
    <w:p w14:paraId="5AE88986" w14:textId="77777777" w:rsidR="00240094" w:rsidRPr="00240094" w:rsidRDefault="00240094" w:rsidP="00240094">
      <w:pPr>
        <w:numPr>
          <w:ilvl w:val="0"/>
          <w:numId w:val="3"/>
        </w:numPr>
      </w:pPr>
      <w:r w:rsidRPr="00240094">
        <w:sym w:font="Symbol" w:char="F0B7"/>
      </w:r>
      <w:r w:rsidRPr="00240094">
        <w:t xml:space="preserve">  Upper Boundary: 82.7 </w:t>
      </w:r>
    </w:p>
    <w:p w14:paraId="25F0D098" w14:textId="77777777" w:rsidR="00240094" w:rsidRPr="00240094" w:rsidRDefault="00240094" w:rsidP="00240094">
      <w:pPr>
        <w:numPr>
          <w:ilvl w:val="0"/>
          <w:numId w:val="3"/>
        </w:numPr>
      </w:pPr>
      <w:r w:rsidRPr="00240094">
        <w:sym w:font="Symbol" w:char="F0B7"/>
      </w:r>
      <w:r w:rsidRPr="00240094">
        <w:t xml:space="preserve">  IQR: (Information is missing) </w:t>
      </w:r>
    </w:p>
    <w:p w14:paraId="227F14D0" w14:textId="77777777" w:rsidR="00240094" w:rsidRPr="00240094" w:rsidRDefault="00240094" w:rsidP="00240094">
      <w:proofErr w:type="spellStart"/>
      <w:r w:rsidRPr="00240094">
        <w:t>Ceftamin</w:t>
      </w:r>
      <w:proofErr w:type="spellEnd"/>
      <w:r w:rsidRPr="00240094">
        <w:t xml:space="preserve">: </w:t>
      </w:r>
    </w:p>
    <w:p w14:paraId="004E2EE2" w14:textId="77777777" w:rsidR="00240094" w:rsidRPr="00240094" w:rsidRDefault="00240094" w:rsidP="00240094">
      <w:pPr>
        <w:numPr>
          <w:ilvl w:val="0"/>
          <w:numId w:val="4"/>
        </w:numPr>
      </w:pPr>
      <w:r w:rsidRPr="00240094">
        <w:sym w:font="Symbol" w:char="F0B7"/>
      </w:r>
      <w:r w:rsidRPr="00240094">
        <w:t xml:space="preserve">  Lower Boundary: 25.4 </w:t>
      </w:r>
    </w:p>
    <w:p w14:paraId="526933DF" w14:textId="77777777" w:rsidR="00240094" w:rsidRPr="00240094" w:rsidRDefault="00240094" w:rsidP="00240094">
      <w:pPr>
        <w:numPr>
          <w:ilvl w:val="0"/>
          <w:numId w:val="4"/>
        </w:numPr>
      </w:pPr>
      <w:r w:rsidRPr="00240094">
        <w:sym w:font="Symbol" w:char="F0B7"/>
      </w:r>
      <w:r w:rsidRPr="00240094">
        <w:t xml:space="preserve">  Upper Boundary: 87.7 </w:t>
      </w:r>
    </w:p>
    <w:p w14:paraId="28F7CC74" w14:textId="77777777" w:rsidR="00240094" w:rsidRPr="00240094" w:rsidRDefault="00240094" w:rsidP="00240094">
      <w:pPr>
        <w:numPr>
          <w:ilvl w:val="0"/>
          <w:numId w:val="4"/>
        </w:numPr>
      </w:pPr>
      <w:r w:rsidRPr="00240094">
        <w:sym w:font="Symbol" w:char="F0B7"/>
      </w:r>
      <w:r w:rsidRPr="00240094">
        <w:t xml:space="preserve">  IQR: 15.578 </w:t>
      </w:r>
    </w:p>
    <w:p w14:paraId="5437314A" w14:textId="2CB80DD1" w:rsidR="00C80A2C" w:rsidRDefault="00E877F4">
      <w:r w:rsidRPr="00E877F4">
        <w:t xml:space="preserve">Based on the analysis, both </w:t>
      </w:r>
      <w:proofErr w:type="spellStart"/>
      <w:r w:rsidRPr="00E877F4">
        <w:t>Capomulin</w:t>
      </w:r>
      <w:proofErr w:type="spellEnd"/>
      <w:r w:rsidRPr="00E877F4">
        <w:t xml:space="preserve"> and </w:t>
      </w:r>
      <w:proofErr w:type="spellStart"/>
      <w:r w:rsidRPr="00E877F4">
        <w:t>Ramicane</w:t>
      </w:r>
      <w:proofErr w:type="spellEnd"/>
      <w:r w:rsidRPr="00E877F4">
        <w:t xml:space="preserve"> show lower interquartile range (IQR) values, indicating a more consistent and potentially effective reduction in tumor size. Notably, </w:t>
      </w:r>
      <w:proofErr w:type="spellStart"/>
      <w:r w:rsidRPr="00E877F4">
        <w:t>Ramicane</w:t>
      </w:r>
      <w:proofErr w:type="spellEnd"/>
      <w:r w:rsidRPr="00E877F4">
        <w:t xml:space="preserve"> has the lowest lower boundary, suggesting it may have the most significant impact on tumor growth. While these statistical measures provide valuable insights into the drugs' efficacy, a more thorough evaluation would require additional data and context to draw definitive conclusions.</w:t>
      </w:r>
    </w:p>
    <w:sectPr w:rsidR="00C80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E5178"/>
    <w:multiLevelType w:val="multilevel"/>
    <w:tmpl w:val="56C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A2378"/>
    <w:multiLevelType w:val="multilevel"/>
    <w:tmpl w:val="ED0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319C1"/>
    <w:multiLevelType w:val="multilevel"/>
    <w:tmpl w:val="6B0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72590"/>
    <w:multiLevelType w:val="multilevel"/>
    <w:tmpl w:val="576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602406">
    <w:abstractNumId w:val="3"/>
  </w:num>
  <w:num w:numId="2" w16cid:durableId="93021185">
    <w:abstractNumId w:val="0"/>
  </w:num>
  <w:num w:numId="3" w16cid:durableId="192230354">
    <w:abstractNumId w:val="2"/>
  </w:num>
  <w:num w:numId="4" w16cid:durableId="993994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94"/>
    <w:rsid w:val="00240094"/>
    <w:rsid w:val="005478BF"/>
    <w:rsid w:val="00596D58"/>
    <w:rsid w:val="00C80A2C"/>
    <w:rsid w:val="00E87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4A8ECA"/>
  <w15:chartTrackingRefBased/>
  <w15:docId w15:val="{8BA4BF99-B087-204E-A172-33243075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0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0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0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0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0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0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0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0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0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0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0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0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0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0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0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094"/>
    <w:rPr>
      <w:rFonts w:eastAsiaTheme="majorEastAsia" w:cstheme="majorBidi"/>
      <w:color w:val="272727" w:themeColor="text1" w:themeTint="D8"/>
    </w:rPr>
  </w:style>
  <w:style w:type="paragraph" w:styleId="Title">
    <w:name w:val="Title"/>
    <w:basedOn w:val="Normal"/>
    <w:next w:val="Normal"/>
    <w:link w:val="TitleChar"/>
    <w:uiPriority w:val="10"/>
    <w:qFormat/>
    <w:rsid w:val="002400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0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0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0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0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0094"/>
    <w:rPr>
      <w:i/>
      <w:iCs/>
      <w:color w:val="404040" w:themeColor="text1" w:themeTint="BF"/>
    </w:rPr>
  </w:style>
  <w:style w:type="paragraph" w:styleId="ListParagraph">
    <w:name w:val="List Paragraph"/>
    <w:basedOn w:val="Normal"/>
    <w:uiPriority w:val="34"/>
    <w:qFormat/>
    <w:rsid w:val="00240094"/>
    <w:pPr>
      <w:ind w:left="720"/>
      <w:contextualSpacing/>
    </w:pPr>
  </w:style>
  <w:style w:type="character" w:styleId="IntenseEmphasis">
    <w:name w:val="Intense Emphasis"/>
    <w:basedOn w:val="DefaultParagraphFont"/>
    <w:uiPriority w:val="21"/>
    <w:qFormat/>
    <w:rsid w:val="00240094"/>
    <w:rPr>
      <w:i/>
      <w:iCs/>
      <w:color w:val="0F4761" w:themeColor="accent1" w:themeShade="BF"/>
    </w:rPr>
  </w:style>
  <w:style w:type="paragraph" w:styleId="IntenseQuote">
    <w:name w:val="Intense Quote"/>
    <w:basedOn w:val="Normal"/>
    <w:next w:val="Normal"/>
    <w:link w:val="IntenseQuoteChar"/>
    <w:uiPriority w:val="30"/>
    <w:qFormat/>
    <w:rsid w:val="00240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094"/>
    <w:rPr>
      <w:i/>
      <w:iCs/>
      <w:color w:val="0F4761" w:themeColor="accent1" w:themeShade="BF"/>
    </w:rPr>
  </w:style>
  <w:style w:type="character" w:styleId="IntenseReference">
    <w:name w:val="Intense Reference"/>
    <w:basedOn w:val="DefaultParagraphFont"/>
    <w:uiPriority w:val="32"/>
    <w:qFormat/>
    <w:rsid w:val="002400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06749">
      <w:bodyDiv w:val="1"/>
      <w:marLeft w:val="0"/>
      <w:marRight w:val="0"/>
      <w:marTop w:val="0"/>
      <w:marBottom w:val="0"/>
      <w:divBdr>
        <w:top w:val="none" w:sz="0" w:space="0" w:color="auto"/>
        <w:left w:val="none" w:sz="0" w:space="0" w:color="auto"/>
        <w:bottom w:val="none" w:sz="0" w:space="0" w:color="auto"/>
        <w:right w:val="none" w:sz="0" w:space="0" w:color="auto"/>
      </w:divBdr>
      <w:divsChild>
        <w:div w:id="217471086">
          <w:marLeft w:val="0"/>
          <w:marRight w:val="0"/>
          <w:marTop w:val="0"/>
          <w:marBottom w:val="0"/>
          <w:divBdr>
            <w:top w:val="none" w:sz="0" w:space="0" w:color="auto"/>
            <w:left w:val="none" w:sz="0" w:space="0" w:color="auto"/>
            <w:bottom w:val="none" w:sz="0" w:space="0" w:color="auto"/>
            <w:right w:val="none" w:sz="0" w:space="0" w:color="auto"/>
          </w:divBdr>
          <w:divsChild>
            <w:div w:id="1998726157">
              <w:marLeft w:val="0"/>
              <w:marRight w:val="0"/>
              <w:marTop w:val="0"/>
              <w:marBottom w:val="0"/>
              <w:divBdr>
                <w:top w:val="none" w:sz="0" w:space="0" w:color="auto"/>
                <w:left w:val="none" w:sz="0" w:space="0" w:color="auto"/>
                <w:bottom w:val="none" w:sz="0" w:space="0" w:color="auto"/>
                <w:right w:val="none" w:sz="0" w:space="0" w:color="auto"/>
              </w:divBdr>
              <w:divsChild>
                <w:div w:id="11506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960">
      <w:bodyDiv w:val="1"/>
      <w:marLeft w:val="0"/>
      <w:marRight w:val="0"/>
      <w:marTop w:val="0"/>
      <w:marBottom w:val="0"/>
      <w:divBdr>
        <w:top w:val="none" w:sz="0" w:space="0" w:color="auto"/>
        <w:left w:val="none" w:sz="0" w:space="0" w:color="auto"/>
        <w:bottom w:val="none" w:sz="0" w:space="0" w:color="auto"/>
        <w:right w:val="none" w:sz="0" w:space="0" w:color="auto"/>
      </w:divBdr>
      <w:divsChild>
        <w:div w:id="928931085">
          <w:marLeft w:val="0"/>
          <w:marRight w:val="0"/>
          <w:marTop w:val="0"/>
          <w:marBottom w:val="0"/>
          <w:divBdr>
            <w:top w:val="none" w:sz="0" w:space="0" w:color="auto"/>
            <w:left w:val="none" w:sz="0" w:space="0" w:color="auto"/>
            <w:bottom w:val="none" w:sz="0" w:space="0" w:color="auto"/>
            <w:right w:val="none" w:sz="0" w:space="0" w:color="auto"/>
          </w:divBdr>
          <w:divsChild>
            <w:div w:id="1680042943">
              <w:marLeft w:val="0"/>
              <w:marRight w:val="0"/>
              <w:marTop w:val="0"/>
              <w:marBottom w:val="0"/>
              <w:divBdr>
                <w:top w:val="none" w:sz="0" w:space="0" w:color="auto"/>
                <w:left w:val="none" w:sz="0" w:space="0" w:color="auto"/>
                <w:bottom w:val="none" w:sz="0" w:space="0" w:color="auto"/>
                <w:right w:val="none" w:sz="0" w:space="0" w:color="auto"/>
              </w:divBdr>
              <w:divsChild>
                <w:div w:id="11311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Kota</dc:creator>
  <cp:keywords/>
  <dc:description/>
  <cp:lastModifiedBy>Sai Keerthi Kota</cp:lastModifiedBy>
  <cp:revision>2</cp:revision>
  <dcterms:created xsi:type="dcterms:W3CDTF">2024-11-11T20:56:00Z</dcterms:created>
  <dcterms:modified xsi:type="dcterms:W3CDTF">2024-11-11T21:01:00Z</dcterms:modified>
</cp:coreProperties>
</file>