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20" w:rsidRPr="001A5920" w:rsidRDefault="001A5920" w:rsidP="001A5920">
      <w:pPr>
        <w:rPr>
          <w:rFonts w:ascii="Times New Roman" w:hAnsi="Times New Roman" w:cs="Times New Roman"/>
          <w:b/>
          <w:sz w:val="24"/>
          <w:szCs w:val="24"/>
        </w:rPr>
      </w:pPr>
      <w:r w:rsidRPr="001A5920">
        <w:rPr>
          <w:rFonts w:ascii="Times New Roman" w:hAnsi="Times New Roman" w:cs="Times New Roman"/>
          <w:b/>
          <w:sz w:val="24"/>
          <w:szCs w:val="24"/>
        </w:rPr>
        <w:t>Co-inductive Logic Programming and its Application to Boolean SAT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F6C">
        <w:rPr>
          <w:rFonts w:ascii="Times New Roman" w:hAnsi="Times New Roman" w:cs="Times New Roman"/>
          <w:sz w:val="20"/>
          <w:szCs w:val="20"/>
        </w:rPr>
        <w:t xml:space="preserve">Co-induction logic programming extended with negation has many applications in Answer set programming. As we studied earlier the co-inductive logic programming </w:t>
      </w:r>
      <w:r>
        <w:rPr>
          <w:rFonts w:ascii="Times New Roman" w:hAnsi="Times New Roman" w:cs="Times New Roman"/>
          <w:sz w:val="20"/>
          <w:szCs w:val="20"/>
        </w:rPr>
        <w:t>solves many problems of infinite processes. But still there exists many problems, co-induction with negation results in many more applications.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Before talking about Co-inductive SDNF let us talk about Co-inductive SLD resolution, SLD resolution extended with the co-inductive hypothesis is known as CO-SLD resolution. CO-SLD resolution extended with the negation is known as CO-SLDNF resolution.</w:t>
      </w:r>
      <w:bookmarkStart w:id="0" w:name="_GoBack"/>
      <w:bookmarkEnd w:id="0"/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Co-inductive ASP solver mentioned in the paper has the following advantages of,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works with ASP containing First order predicates with no restrictions placed on it.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eliminates preprocessing.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directly executes the predicates.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Finally, in this paper the author showed how co-SLDN resolution is used to develop Boolean sat </w:t>
      </w:r>
    </w:p>
    <w:p w:rsidR="001A5920" w:rsidRDefault="001A5920" w:rsidP="001A5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Solvers. Also goal-directed execution mechanisms are possible through co-SLDN resolution.</w:t>
      </w:r>
    </w:p>
    <w:p w:rsidR="002416FF" w:rsidRDefault="001A5920"/>
    <w:sectPr w:rsidR="002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7E"/>
    <w:rsid w:val="001A5920"/>
    <w:rsid w:val="00450B08"/>
    <w:rsid w:val="0067275F"/>
    <w:rsid w:val="008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9423-F309-48EB-BB37-42A18859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2015-12-14T16:18:00Z</dcterms:created>
  <dcterms:modified xsi:type="dcterms:W3CDTF">2015-12-14T16:18:00Z</dcterms:modified>
</cp:coreProperties>
</file>