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2620EBA1" wp14:textId="77777777">
      <w:pPr>
        <w:spacing w:after="40"/>
        <w:jc w:val="center"/>
      </w:pPr>
      <w:r>
        <w:rPr>
          <w:rFonts w:ascii="Calibri" w:hAnsi="Calibri"/>
          <w:b/>
          <w:i w:val="0"/>
          <w:color w:val="1F497D"/>
          <w:sz w:val="44"/>
        </w:rPr>
        <w:t>Senior GenAI &amp; Agentic AI Engineer</w:t>
      </w:r>
    </w:p>
    <w:p xmlns:wp14="http://schemas.microsoft.com/office/word/2010/wordml" w14:paraId="649481F8" wp14:textId="77777777">
      <w:pPr>
        <w:spacing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LLM Engineer  |  Agentic AI Engineer  |  AI/ML Engineer  |  NLP Engineer  |  MLOps Engineer</w:t>
      </w:r>
    </w:p>
    <w:p xmlns:wp14="http://schemas.microsoft.com/office/word/2010/wordml" w14:paraId="6C6FDE06" wp14:textId="6B4D37E8">
      <w:pPr>
        <w:spacing w:after="40"/>
        <w:jc w:val="center"/>
      </w:pP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Organisation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: TVS 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  <w:lang w:val="en-IN"/>
        </w:rPr>
        <w:t xml:space="preserve">SCS 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(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TVSSCS)   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|   Location: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  <w:lang w:val="en-IN"/>
        </w:rPr>
        <w:t>Chennai,Madurai,Coimbatore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 |   Experience: </w:t>
      </w:r>
      <w:r w:rsidRPr="68BC7B0A" w:rsidR="3E549605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3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-7 Years   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|  Type</w:t>
      </w:r>
      <w:r w:rsidRPr="68BC7B0A" w:rsidR="68BC7B0A">
        <w:rPr>
          <w:rFonts w:ascii="Calibri" w:hAnsi="Calibr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: Full-Time</w:t>
      </w:r>
    </w:p>
    <w:p xmlns:wp14="http://schemas.microsoft.com/office/word/2010/wordml" w14:paraId="672A6659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75484219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Skills &amp; Technology Keywords</w:t>
      </w:r>
    </w:p>
    <w:p xmlns:wp14="http://schemas.microsoft.com/office/word/2010/wordml" w14:paraId="7008EE8E" wp14:textId="77777777">
      <w:pPr>
        <w:spacing w:after="60"/>
      </w:pPr>
      <w:r>
        <w:rPr>
          <w:rFonts w:ascii="Calibri" w:hAnsi="Calibri"/>
          <w:b w:val="0"/>
          <w:i/>
          <w:sz w:val="22"/>
        </w:rPr>
        <w:t>This section is structured to support automated candidate matching on job portals and AI-powered ATS platforms.</w:t>
      </w:r>
    </w:p>
    <w:p xmlns:wp14="http://schemas.microsoft.com/office/word/2010/wordml" w14:paraId="75371AA0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AI / LLM Platforms &amp; APIs</w:t>
      </w:r>
    </w:p>
    <w:p xmlns:wp14="http://schemas.microsoft.com/office/word/2010/wordml" w14:paraId="65E400D0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OpenAI GPT-4 / GPT-4o  |  Anthropic Claude  |  Google Gemini  |  Meta LLaMA 2 / LLaMA 3  |  Mistral  |  Falcon  |  Cohere  |  Azure OpenAI Service  |  Google Vertex AI  |  AWS Bedrock  |  Hugging Face Hub  |  Ollama</w:t>
      </w:r>
    </w:p>
    <w:p xmlns:wp14="http://schemas.microsoft.com/office/word/2010/wordml" w14:paraId="3961E7DA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Agentic AI &amp; Orchestration Frameworks</w:t>
      </w:r>
    </w:p>
    <w:p xmlns:wp14="http://schemas.microsoft.com/office/word/2010/wordml" w14:paraId="1FA28814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LangChain  |  LlamaIndex  |  AutoGen  |  CrewAI  |  Semantic Kernel  |  AgentExecutor  |  ReAct Agents  |  Chain-of-Thought Prompting  |  Tool Use / Function Calling  |  Multi-Agent Systems  |  Autonomous Agents  |  Workflow Orchestration  |  Human-in-the-Loop (HITL)  |  LangGraph</w:t>
      </w:r>
    </w:p>
    <w:p xmlns:wp14="http://schemas.microsoft.com/office/word/2010/wordml" w14:paraId="313E30EE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RAG &amp; Knowledge Retrieval</w:t>
      </w:r>
    </w:p>
    <w:p xmlns:wp14="http://schemas.microsoft.com/office/word/2010/wordml" w14:paraId="7A5B301B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Retrieval-Augmented Generation (RAG)  |  Vector Search  |  Semantic Search  |  Hybrid Search  |  Re-ranking  |  Contextual Chunking  |  Document Embeddings  |  sentence-transformers  |  OpenAI Embeddings  |  BGE Embeddings  |  E5 Embeddings  |  FAISS  |  Pinecone  |  Weaviate  |  Milvus  |  Chroma  |  Qdrant  |  pgvector  |  Elasticsearch</w:t>
      </w:r>
    </w:p>
    <w:p xmlns:wp14="http://schemas.microsoft.com/office/word/2010/wordml" w14:paraId="799C0F2D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ML / Deep Learning &amp; Fine-Tuning</w:t>
      </w:r>
    </w:p>
    <w:p xmlns:wp14="http://schemas.microsoft.com/office/word/2010/wordml" w14:paraId="295F55F8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PyTorch  |  TensorFlow  |  Hugging Face Transformers  |  PEFT  |  LoRA  |  QLoRA  |  Supervised Fine-Tuning (SFT)  |  RLHF  |  DPO  |  Instruction Tuning  |  Model Quantization  |  ONNX  |  TensorRT  |  vLLM  |  TensorRT-LLM  |  Triton Inference Server  |  Distillation</w:t>
      </w:r>
    </w:p>
    <w:p xmlns:wp14="http://schemas.microsoft.com/office/word/2010/wordml" w14:paraId="4B666B15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MLOps &amp; Model Lifecycle</w:t>
      </w:r>
    </w:p>
    <w:p xmlns:wp14="http://schemas.microsoft.com/office/word/2010/wordml" w14:paraId="777E7E7F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MLflow  |  Weights &amp; Biases (W&amp;B)  |  DVC  |  Kubeflow  |  Airflow  |  Prefect  |  Model Registry  |  Model Versioning  |  CI/CD for ML  |  GitHub Actions  |  GitLab CI  |  Jenkins  |  ArgoCD  |  Experiment Tracking  |  Data Versioning</w:t>
      </w:r>
    </w:p>
    <w:p xmlns:wp14="http://schemas.microsoft.com/office/word/2010/wordml" w14:paraId="2F121F85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Cloud &amp; Infrastructure</w:t>
      </w:r>
    </w:p>
    <w:p xmlns:wp14="http://schemas.microsoft.com/office/word/2010/wordml" w14:paraId="5EF6CC24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AWS (SageMaker, EC2, S3, Lambda, ECS)  |  Azure (OpenAI, ML Studio, AKS)  |  GCP (Vertex AI, Cloud Run, GKE)  |  Docker  |  Kubernetes  |  Helm  |  Terraform  |  Serverless  |  GPU Infrastructure  |  NVIDIA CUDA  |  A100 / H100 GPUs</w:t>
      </w:r>
    </w:p>
    <w:p xmlns:wp14="http://schemas.microsoft.com/office/word/2010/wordml" w14:paraId="5A55D64B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Backend &amp; API Engineering</w:t>
      </w:r>
    </w:p>
    <w:p xmlns:wp14="http://schemas.microsoft.com/office/word/2010/wordml" w14:paraId="60233A35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Python  |  FastAPI  |  Flask  |  Django  |  Node.js  |  REST API  |  GraphQL  |  Async Programming  |  Microservices  |  gRPC  |  WebSockets  |  API Gateway  |  OAuth2  |  JWT  |  Rate Limiting</w:t>
      </w:r>
    </w:p>
    <w:p xmlns:wp14="http://schemas.microsoft.com/office/word/2010/wordml" w14:paraId="2B63F7A5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Databases &amp; Storage</w:t>
      </w:r>
    </w:p>
    <w:p xmlns:wp14="http://schemas.microsoft.com/office/word/2010/wordml" w14:paraId="04F1626F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PostgreSQL  |  MySQL  |  Redis  |  MongoDB  |  Elasticsearch  |  pgvector  |  SQL  |  NoSQL  |  Schema Design  |  Query Optimization  |  Object Storage (S3/Blob)</w:t>
      </w:r>
    </w:p>
    <w:p xmlns:wp14="http://schemas.microsoft.com/office/word/2010/wordml" w14:paraId="105D0551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Observability &amp; Monitoring</w:t>
      </w:r>
    </w:p>
    <w:p xmlns:wp14="http://schemas.microsoft.com/office/word/2010/wordml" w14:paraId="3E1C3DD5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Prometheus  |  Grafana  |  LangSmith  |  LangFuse  |  Arize AI  |  Evidently AI  |  OpenTelemetry  |  Structured Logging  |  Distributed Tracing  |  Cost Monitoring  |  Hallucination Detection  |  Token Usage Tracking  |  Agent Trace Logging</w:t>
      </w:r>
    </w:p>
    <w:p xmlns:wp14="http://schemas.microsoft.com/office/word/2010/wordml" w14:paraId="469E390F" wp14:textId="77777777">
      <w:pPr>
        <w:spacing w:before="120" w:after="40"/>
      </w:pPr>
      <w:r>
        <w:rPr>
          <w:rFonts w:ascii="Calibri" w:hAnsi="Calibri"/>
          <w:b/>
          <w:i w:val="0"/>
          <w:color w:val="1F497D"/>
          <w:sz w:val="22"/>
        </w:rPr>
        <w:t>Prompt Engineering &amp; AI Safety</w:t>
      </w:r>
    </w:p>
    <w:p xmlns:wp14="http://schemas.microsoft.com/office/word/2010/wordml" w14:paraId="61D8FFF2" wp14:textId="77777777">
      <w:pPr>
        <w:shd w:val="clear" w:color="auto" w:fill="EEF4FB"/>
        <w:spacing w:after="160"/>
      </w:pPr>
      <w:r>
        <w:rPr>
          <w:rFonts w:ascii="Calibri" w:hAnsi="Calibri"/>
          <w:b w:val="0"/>
          <w:i w:val="0"/>
          <w:color w:val="282828"/>
          <w:sz w:val="19"/>
        </w:rPr>
        <w:t>Prompt Engineering  |  System Prompts  |  Few-Shot Learning  |  Zero-Shot Prompting  |  Context Window Management  |  Guardrails  |  Responsible AI  |  AI Governance  |  Bias Detection  |  Output Validation  |  Grounding  |  Factuality</w:t>
      </w:r>
    </w:p>
    <w:p xmlns:wp14="http://schemas.microsoft.com/office/word/2010/wordml" w14:paraId="0A37501D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71252EBA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About the Role</w:t>
      </w:r>
    </w:p>
    <w:p xmlns:wp14="http://schemas.microsoft.com/office/word/2010/wordml" w14:paraId="0979F91B" wp14:textId="77777777">
      <w:pPr>
        <w:spacing w:after="60"/>
      </w:pPr>
      <w:r>
        <w:rPr>
          <w:rFonts w:ascii="Calibri" w:hAnsi="Calibri"/>
          <w:b w:val="0"/>
          <w:i w:val="0"/>
          <w:sz w:val="22"/>
        </w:rPr>
        <w:t>TVSSCS</w:t>
      </w:r>
      <w:r>
        <w:rPr>
          <w:rFonts w:hint="default" w:ascii="Calibri" w:hAnsi="Calibri"/>
          <w:b w:val="0"/>
          <w:i w:val="0"/>
          <w:sz w:val="22"/>
          <w:lang w:val="en-IN"/>
        </w:rPr>
        <w:t xml:space="preserve"> </w:t>
      </w:r>
      <w:bookmarkStart w:name="_GoBack" w:id="0"/>
      <w:bookmarkEnd w:id="0"/>
      <w:r>
        <w:rPr>
          <w:rFonts w:ascii="Calibri" w:hAnsi="Calibri"/>
          <w:b w:val="0"/>
          <w:i w:val="0"/>
          <w:sz w:val="22"/>
        </w:rPr>
        <w:t>is hiring a Senior GenAI &amp; Agentic AI Engineer who has shipped production AI systems to real users - not just built prototypes. You will own the architecture, deployment, and reliability of LLM-powered and agentic AI systems that run in production at scale within the TVSSCS engineering organisation. This is an engineering-first role; the expectation is production-grade code, observable systems, and measurable business impact.</w:t>
      </w:r>
    </w:p>
    <w:p xmlns:wp14="http://schemas.microsoft.com/office/word/2010/wordml" w14:paraId="5DAB6C7B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6E48AD26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Key Responsibilities</w:t>
      </w:r>
    </w:p>
    <w:p xmlns:wp14="http://schemas.microsoft.com/office/word/2010/wordml" w14:paraId="7AF5CAFA" wp14:textId="77777777">
      <w:pPr>
        <w:spacing w:before="160" w:after="80"/>
      </w:pPr>
      <w:r>
        <w:rPr>
          <w:rFonts w:ascii="Calibri" w:hAnsi="Calibri"/>
          <w:b/>
          <w:i w:val="0"/>
          <w:color w:val="0070C0"/>
          <w:sz w:val="22"/>
        </w:rPr>
        <w:t>1. Agentic AI System Design &amp; Deployment</w:t>
      </w:r>
    </w:p>
    <w:p xmlns:wp14="http://schemas.microsoft.com/office/word/2010/wordml" w14:paraId="6C2FA55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Architect and deploy multi-agent orchestration pipelines using LangChain, LlamaIndex, AutoGen, CrewAI, LangGraph, or Semantic Kernel</w:t>
      </w:r>
    </w:p>
    <w:p xmlns:wp14="http://schemas.microsoft.com/office/word/2010/wordml" w14:paraId="2EDDF604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Build autonomous AI agents with tool-use, self-correction, ReAct loops, and long-horizon task execution</w:t>
      </w:r>
    </w:p>
    <w:p xmlns:wp14="http://schemas.microsoft.com/office/word/2010/wordml" w14:paraId="0CC50446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Implement short-term, long-term, and episodic memory layers for stateful, context-aware agent behavior</w:t>
      </w:r>
    </w:p>
    <w:p xmlns:wp14="http://schemas.microsoft.com/office/word/2010/wordml" w14:paraId="79CC0360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Design human-in-the-loop (HITL) workflows for high-stakes decision points within agent pipelines</w:t>
      </w:r>
    </w:p>
    <w:p xmlns:wp14="http://schemas.microsoft.com/office/word/2010/wordml" w14:paraId="6A8DED18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Integrate function calling and structured output enforcement with GPT-4, Claude, Gemini, and open-source LLMs</w:t>
      </w:r>
    </w:p>
    <w:p xmlns:wp14="http://schemas.microsoft.com/office/word/2010/wordml" w14:paraId="75381386" wp14:textId="77777777">
      <w:pPr>
        <w:spacing w:before="160" w:after="80"/>
      </w:pPr>
      <w:r>
        <w:rPr>
          <w:rFonts w:ascii="Calibri" w:hAnsi="Calibri"/>
          <w:b/>
          <w:i w:val="0"/>
          <w:color w:val="0070C0"/>
          <w:sz w:val="22"/>
        </w:rPr>
        <w:t>2. LLM Integration, RAG &amp; Knowledge Systems</w:t>
      </w:r>
    </w:p>
    <w:p xmlns:wp14="http://schemas.microsoft.com/office/word/2010/wordml" w14:paraId="18DFC605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Build and optimize production RAG pipelines using Pinecone, Weaviate, Milvus, Chroma, Qdrant, or pgvector</w:t>
      </w:r>
    </w:p>
    <w:p xmlns:wp14="http://schemas.microsoft.com/office/word/2010/wordml" w14:paraId="2D4208E8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Apply advanced retrieval: hybrid search (dense + sparse), cross-encoder re-ranking, contextual chunking, HyDE</w:t>
      </w:r>
    </w:p>
    <w:p xmlns:wp14="http://schemas.microsoft.com/office/word/2010/wordml" w14:paraId="5254215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Manage embedding models (OpenAI, BGE, E5, sentence-transformers) and vector index lifecycle in production</w:t>
      </w:r>
    </w:p>
    <w:p xmlns:wp14="http://schemas.microsoft.com/office/word/2010/wordml" w14:paraId="7C8E302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Implement multi-LLM routing (OpenAI, Anthropic Claude, Azure OpenAI, AWS Bedrock, Google Vertex AI) with fallback and cost controls</w:t>
      </w:r>
    </w:p>
    <w:p xmlns:wp14="http://schemas.microsoft.com/office/word/2010/wordml" w14:paraId="635D7B21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Apply prompt engineering best practices: chain-of-thought, few-shot, system prompt design, context window management</w:t>
      </w:r>
    </w:p>
    <w:p xmlns:wp14="http://schemas.microsoft.com/office/word/2010/wordml" w14:paraId="58F9010B" wp14:textId="77777777">
      <w:pPr>
        <w:spacing w:before="160" w:after="80"/>
      </w:pPr>
      <w:r>
        <w:rPr>
          <w:rFonts w:ascii="Calibri" w:hAnsi="Calibri"/>
          <w:b/>
          <w:i w:val="0"/>
          <w:color w:val="0070C0"/>
          <w:sz w:val="22"/>
        </w:rPr>
        <w:t>3. Production ML Engineering &amp; MLOps</w:t>
      </w:r>
    </w:p>
    <w:p xmlns:wp14="http://schemas.microsoft.com/office/word/2010/wordml" w14:paraId="643921A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Own model deployment end-to-end: Docker, Kubernetes, CI/CD (GitHub Actions / GitLab CI / ArgoCD), rollback strategies</w:t>
      </w:r>
    </w:p>
    <w:p xmlns:wp14="http://schemas.microsoft.com/office/word/2010/wordml" w14:paraId="6B03F60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Optimize LLM inference for low-latency, high-throughput serving using vLLM, TensorRT-LLM, Triton Inference Server, ONNX</w:t>
      </w:r>
    </w:p>
    <w:p xmlns:wp14="http://schemas.microsoft.com/office/word/2010/wordml" w14:paraId="29ABA66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Manage ML lifecycle with MLflow, Weights &amp; Biases, DVC - experiment tracking, model registry, versioning</w:t>
      </w:r>
    </w:p>
    <w:p xmlns:wp14="http://schemas.microsoft.com/office/word/2010/wordml" w14:paraId="5B78534C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Execute efficient fine-tuning with LoRA, QLoRA (PEFT), SFT, and RLHF / DPO on proprietary datasets</w:t>
      </w:r>
    </w:p>
    <w:p xmlns:wp14="http://schemas.microsoft.com/office/word/2010/wordml" w14:paraId="20ACCD5F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Deploy on AWS (SageMaker, ECS, Lambda), Azure (ML Studio, AKS), or GCP (Vertex AI, Cloud Run)</w:t>
      </w:r>
    </w:p>
    <w:p xmlns:wp14="http://schemas.microsoft.com/office/word/2010/wordml" w14:paraId="0E3E56E0" wp14:textId="77777777">
      <w:pPr>
        <w:spacing w:before="160" w:after="80"/>
      </w:pPr>
      <w:r>
        <w:rPr>
          <w:rFonts w:ascii="Calibri" w:hAnsi="Calibri"/>
          <w:b/>
          <w:i w:val="0"/>
          <w:color w:val="0070C0"/>
          <w:sz w:val="22"/>
        </w:rPr>
        <w:t>4. Observability, Monitoring &amp; Reliability</w:t>
      </w:r>
    </w:p>
    <w:p xmlns:wp14="http://schemas.microsoft.com/office/word/2010/wordml" w14:paraId="2E6B707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Build real-time GenAI monitoring dashboards using LangSmith, LangFuse, Arize AI, Evidently AI, or Prometheus + Grafana</w:t>
      </w:r>
    </w:p>
    <w:p xmlns:wp14="http://schemas.microsoft.com/office/word/2010/wordml" w14:paraId="60A2BB5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Track production GenAI metrics: token costs, hallucination rates, latency p50/p95/p99, agent tool-call traces</w:t>
      </w:r>
    </w:p>
    <w:p xmlns:wp14="http://schemas.microsoft.com/office/word/2010/wordml" w14:paraId="37A129E0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Implement OpenTelemetry-based distributed tracing and structured logging for multi-agent pipelines</w:t>
      </w:r>
    </w:p>
    <w:p xmlns:wp14="http://schemas.microsoft.com/office/word/2010/wordml" w14:paraId="47331F37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Design alerting, circuit breakers, and graceful degradation patterns for AI service failures</w:t>
      </w:r>
    </w:p>
    <w:p xmlns:wp14="http://schemas.microsoft.com/office/word/2010/wordml" w14:paraId="2E6BCC4F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Conduct root-cause analysis on production incidents and drive SLA/SLO improvements</w:t>
      </w:r>
    </w:p>
    <w:p xmlns:wp14="http://schemas.microsoft.com/office/word/2010/wordml" w14:paraId="045C5263" wp14:textId="77777777">
      <w:pPr>
        <w:spacing w:before="160" w:after="80"/>
      </w:pPr>
      <w:r>
        <w:rPr>
          <w:rFonts w:ascii="Calibri" w:hAnsi="Calibri"/>
          <w:b/>
          <w:i w:val="0"/>
          <w:color w:val="0070C0"/>
          <w:sz w:val="22"/>
        </w:rPr>
        <w:t>5. Backend Engineering &amp; API Development</w:t>
      </w:r>
    </w:p>
    <w:p xmlns:wp14="http://schemas.microsoft.com/office/word/2010/wordml" w14:paraId="13F918E9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Build scalable AI microservices with FastAPI, Flask, or Django; design REST and WebSocket APIs for real-time AI features</w:t>
      </w:r>
    </w:p>
    <w:p xmlns:wp14="http://schemas.microsoft.com/office/word/2010/wordml" w14:paraId="7C9A4287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Implement authentication (OAuth2, JWT), rate limiting, input validation, and structured error handling</w:t>
      </w:r>
    </w:p>
    <w:p xmlns:wp14="http://schemas.microsoft.com/office/word/2010/wordml" w14:paraId="4EEE35A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Integrate with PostgreSQL, Redis, MongoDB, Elasticsearch for data persistence and caching layers</w:t>
      </w:r>
    </w:p>
    <w:p xmlns:wp14="http://schemas.microsoft.com/office/word/2010/wordml" w14:paraId="4CB784E6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Apply async programming patterns (asyncio, Celery) for high-concurrency AI workloads</w:t>
      </w:r>
    </w:p>
    <w:p xmlns:wp14="http://schemas.microsoft.com/office/word/2010/wordml" w14:paraId="02EB378F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529557A7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Must-Have Requirements</w:t>
      </w:r>
    </w:p>
    <w:p xmlns:wp14="http://schemas.microsoft.com/office/word/2010/wordml" w14:paraId="08606C82" wp14:textId="3497E316">
      <w:pPr>
        <w:pStyle w:val="23"/>
        <w:spacing w:after="40"/>
        <w:ind w:left="432"/>
        <w:rPr/>
      </w:pPr>
      <w:r w:rsidRPr="76A3CF81" w:rsidR="7A77E347">
        <w:rPr>
          <w:rFonts w:ascii="Calibri" w:hAnsi="Calibri"/>
          <w:b w:val="0"/>
          <w:bCs w:val="0"/>
          <w:i w:val="0"/>
          <w:iCs w:val="0"/>
          <w:sz w:val="22"/>
          <w:szCs w:val="22"/>
        </w:rPr>
        <w:t>3-7 years of hands-on experience in ML Engineering, AI Engineering, or LLM Engineering roles</w:t>
      </w:r>
    </w:p>
    <w:p xmlns:wp14="http://schemas.microsoft.com/office/word/2010/wordml" w14:paraId="7949292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MANDATORY: At least 2 production-deployed AI/ML systems (describe in application: problem, scale, your ownership, tech stack used)</w:t>
      </w:r>
    </w:p>
    <w:p xmlns:wp14="http://schemas.microsoft.com/office/word/2010/wordml" w14:paraId="6F1798C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Proven experience deploying LLM applications - RAG pipelines, AI chatbots, autonomous agents, or AI-powered workflows - to production cloud (AWS / Azure / GCP)</w:t>
      </w:r>
    </w:p>
    <w:p xmlns:wp14="http://schemas.microsoft.com/office/word/2010/wordml" w14:paraId="7E5ED076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Hands-on experience with at least one agentic AI framework: LangChain, LlamaIndex, AutoGen, CrewAI, or Semantic Kernel</w:t>
      </w:r>
    </w:p>
    <w:p xmlns:wp14="http://schemas.microsoft.com/office/word/2010/wordml" w14:paraId="00DEF32B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Strong Python proficiency; experience with FastAPI or Flask for building AI-serving microservices</w:t>
      </w:r>
    </w:p>
    <w:p xmlns:wp14="http://schemas.microsoft.com/office/word/2010/wordml" w14:paraId="0BFB7EC0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Experience integrating at least one LLM API in production: OpenAI, Anthropic, Azure OpenAI, Cohere, or Hugging Face</w:t>
      </w:r>
    </w:p>
    <w:p xmlns:wp14="http://schemas.microsoft.com/office/word/2010/wordml" w14:paraId="44288DFF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Hands-on experience with vector databases (Pinecone / Weaviate / Milvus / Chroma / pgvector / FAISS) in production RAG systems</w:t>
      </w:r>
    </w:p>
    <w:p xmlns:wp14="http://schemas.microsoft.com/office/word/2010/wordml" w14:paraId="265866BA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Solid command of Docker and Kubernetes for containerized AI model deployment</w:t>
      </w:r>
    </w:p>
    <w:p xmlns:wp14="http://schemas.microsoft.com/office/word/2010/wordml" w14:paraId="215F24A6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Understanding of prompt engineering, context window management, and LLM cost optimization</w:t>
      </w:r>
    </w:p>
    <w:p xmlns:wp14="http://schemas.microsoft.com/office/word/2010/wordml" w14:paraId="77F2E905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Exposure to MLOps tooling: MLflow, Weights &amp; Biases, or DVC for experiment tracking and model management</w:t>
      </w:r>
    </w:p>
    <w:p xmlns:wp14="http://schemas.microsoft.com/office/word/2010/wordml" w14:paraId="6A05A809" wp14:textId="77777777">
      <w:pPr>
        <w:pBdr>
          <w:bottom w:val="single" w:color="1F497D" w:sz="6" w:space="1"/>
        </w:pBdr>
        <w:spacing w:before="40" w:after="40"/>
      </w:pPr>
    </w:p>
    <w:p w:rsidR="75252C4D" w:rsidP="75252C4D" w:rsidRDefault="75252C4D" w14:paraId="23804EE3" w14:textId="569BC85A">
      <w:pPr>
        <w:spacing w:before="160" w:after="80"/>
        <w:rPr>
          <w:rFonts w:ascii="Calibri" w:hAnsi="Calibri"/>
          <w:b w:val="1"/>
          <w:bCs w:val="1"/>
          <w:i w:val="0"/>
          <w:iCs w:val="0"/>
          <w:color w:val="1F497D" w:themeColor="text2" w:themeTint="FF" w:themeShade="FF"/>
          <w:sz w:val="26"/>
          <w:szCs w:val="26"/>
        </w:rPr>
      </w:pPr>
    </w:p>
    <w:p xmlns:wp14="http://schemas.microsoft.com/office/word/2010/wordml" w14:paraId="19107E40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Good to Have</w:t>
      </w:r>
    </w:p>
    <w:p xmlns:wp14="http://schemas.microsoft.com/office/word/2010/wordml" w14:paraId="41959C30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Experience with multi-agent frameworks: AutoGen, CrewAI, LangGraph, or custom orchestrators</w:t>
      </w:r>
    </w:p>
    <w:p xmlns:wp14="http://schemas.microsoft.com/office/word/2010/wordml" w14:paraId="1F7F69C5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LLM fine-tuning using LoRA, QLoRA, PEFT, SFT, RLHF, or DPO on domain-specific datasets</w:t>
      </w:r>
    </w:p>
    <w:p xmlns:wp14="http://schemas.microsoft.com/office/word/2010/wordml" w14:paraId="4573F043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Inference optimization experience: vLLM, TensorRT-LLM, ONNX, model quantization (INT4/INT8), or distillation</w:t>
      </w:r>
    </w:p>
    <w:p xmlns:wp14="http://schemas.microsoft.com/office/word/2010/wordml" w14:paraId="41BFA0B7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GenAI observability experience with LangSmith, LangFuse, Arize AI, or Evidently AI</w:t>
      </w:r>
    </w:p>
    <w:p xmlns:wp14="http://schemas.microsoft.com/office/word/2010/wordml" w14:paraId="38CF424C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Knowledge of responsible AI, AI governance, output guardrails, bias detection, and factuality validation</w:t>
      </w:r>
    </w:p>
    <w:p xmlns:wp14="http://schemas.microsoft.com/office/word/2010/wordml" w14:paraId="4BE56695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Open-source contributions to GenAI, LLM, or agentic AI tooling</w:t>
      </w:r>
    </w:p>
    <w:p xmlns:wp14="http://schemas.microsoft.com/office/word/2010/wordml" w14:paraId="1353B497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Frontend exposure (React, TypeScript) for building internal AI dashboards or chat interfaces</w:t>
      </w:r>
    </w:p>
    <w:p xmlns:wp14="http://schemas.microsoft.com/office/word/2010/wordml" w14:paraId="4541AFE6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Familiarity with enterprise AI compliance, data privacy, and security best practices (SOC 2, GDPR)</w:t>
      </w:r>
    </w:p>
    <w:p xmlns:wp14="http://schemas.microsoft.com/office/word/2010/wordml" w14:paraId="5A39BBE3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6EB9DC1B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What We Expect From Applicants</w:t>
      </w:r>
    </w:p>
    <w:p xmlns:wp14="http://schemas.microsoft.com/office/word/2010/wordml" w14:paraId="491702AF" wp14:textId="77777777">
      <w:pPr>
        <w:spacing w:after="60"/>
      </w:pPr>
      <w:r>
        <w:rPr>
          <w:rFonts w:ascii="Calibri" w:hAnsi="Calibri"/>
          <w:b w:val="0"/>
          <w:i w:val="0"/>
          <w:sz w:val="22"/>
        </w:rPr>
        <w:t>Candidates must demonstrate real production experience. In your application, include:</w:t>
      </w:r>
    </w:p>
    <w:p xmlns:wp14="http://schemas.microsoft.com/office/word/2010/wordml" w14:paraId="3B2F1FF4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Production system #1 - problem solved, users/requests at scale, your specific role, key technologies used</w:t>
      </w:r>
    </w:p>
    <w:p xmlns:wp14="http://schemas.microsoft.com/office/word/2010/wordml" w14:paraId="05D70E36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Production system #2 - same format as above</w:t>
      </w:r>
    </w:p>
    <w:p xmlns:wp14="http://schemas.microsoft.com/office/word/2010/wordml" w14:paraId="1F373C5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One production incident you debugged and resolved - what broke, how you diagnosed it, what you fixed</w:t>
      </w:r>
    </w:p>
    <w:p xmlns:wp14="http://schemas.microsoft.com/office/word/2010/wordml" w14:paraId="4DB185F4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Links to GitHub, portfolio, blog posts, or open-source contributions (preferred but not mandatory)</w:t>
      </w:r>
    </w:p>
    <w:p xmlns:wp14="http://schemas.microsoft.com/office/word/2010/wordml" w14:paraId="2A99C06A" wp14:textId="77777777">
      <w:pPr>
        <w:spacing w:before="80"/>
      </w:pPr>
      <w:r>
        <w:rPr>
          <w:rFonts w:hint="default" w:ascii="Calibri" w:hAnsi="Calibri"/>
          <w:b/>
          <w:i w:val="0"/>
          <w:color w:val="C00000"/>
          <w:sz w:val="20"/>
          <w:lang w:val="en-IN"/>
        </w:rPr>
        <w:t xml:space="preserve">Note : </w:t>
      </w:r>
      <w:r>
        <w:rPr>
          <w:rFonts w:ascii="Calibri" w:hAnsi="Calibri"/>
          <w:b/>
          <w:i w:val="0"/>
          <w:color w:val="C00000"/>
          <w:sz w:val="20"/>
        </w:rPr>
        <w:t>Applications without documented production AI project experience will not be shortlisted.</w:t>
      </w:r>
    </w:p>
    <w:p xmlns:wp14="http://schemas.microsoft.com/office/word/2010/wordml" w14:paraId="41C8F396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258678F2" wp14:textId="77777777"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Why Join TVSSCS</w:t>
      </w:r>
    </w:p>
    <w:p xmlns:wp14="http://schemas.microsoft.com/office/word/2010/wordml" w14:paraId="7F460A6D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Build enterprise-grade AI systems used in real business operations - not demos or internal tools</w:t>
      </w:r>
    </w:p>
    <w:p xmlns:wp14="http://schemas.microsoft.com/office/word/2010/wordml" w14:paraId="02BE0815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 with state-of-the-art LLM infrastructure: GPT-4, Claude, Gemini, LLaMA, custom fine-tuned models</w:t>
      </w:r>
    </w:p>
    <w:p xmlns:wp14="http://schemas.microsoft.com/office/word/2010/wordml" w14:paraId="1DEFB3FC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High ownership: you own architecture decisions, not just feature tickets</w:t>
      </w:r>
    </w:p>
    <w:p xmlns:wp14="http://schemas.microsoft.com/office/word/2010/wordml" w14:paraId="4814C61B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Learning &amp; certification budget for AI/ML conferences, cloud certifications, and research</w:t>
      </w:r>
    </w:p>
    <w:p xmlns:wp14="http://schemas.microsoft.com/office/word/2010/wordml" w14:paraId="73FA8C08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Collaborative engineering culture with strong peer review, design discussions, and knowledge sharing</w:t>
      </w:r>
    </w:p>
    <w:p xmlns:wp14="http://schemas.microsoft.com/office/word/2010/wordml" w14:paraId="301B3C5E" wp14:textId="77777777">
      <w:pPr>
        <w:pStyle w:val="23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Growth path into AI Architecture / Principal Engineer roles within TVSSCS</w:t>
      </w:r>
    </w:p>
    <w:p xmlns:wp14="http://schemas.microsoft.com/office/word/2010/wordml" w14:paraId="72A3D3EC" wp14:textId="77777777">
      <w:pPr>
        <w:pBdr>
          <w:bottom w:val="single" w:color="1F497D" w:sz="6" w:space="1"/>
        </w:pBdr>
        <w:spacing w:before="40" w:after="40"/>
      </w:pPr>
    </w:p>
    <w:p xmlns:wp14="http://schemas.microsoft.com/office/word/2010/wordml" w14:paraId="1187A5E0" wp14:textId="77777777">
      <w:pPr>
        <w:spacing w:before="120"/>
      </w:pPr>
      <w:r>
        <w:rPr>
          <w:rFonts w:ascii="Calibri" w:hAnsi="Calibri"/>
          <w:b/>
          <w:i w:val="0"/>
          <w:color w:val="1F497D"/>
          <w:sz w:val="18"/>
        </w:rPr>
        <w:t xml:space="preserve">HR Note: </w:t>
      </w:r>
      <w:r>
        <w:rPr>
          <w:rFonts w:ascii="Calibri" w:hAnsi="Calibri"/>
          <w:b w:val="0"/>
          <w:i/>
          <w:color w:val="595959"/>
          <w:sz w:val="18"/>
        </w:rPr>
        <w:t>This JD has been structured with explicit technology keywords across all sections to maximize candidate match rates on LinkedIn, Naukri, Indeed, Instahyre, and AI-powered ATS platforms. The "Skills &amp; Technology Keywords" section at the top ensures crawlers index the full tech stack. Recommended job portal tags: GenAI, LLM, Agentic AI, LangChain, RAG, MLOps, Python, FastAPI, LlamaIndex.</w:t>
      </w:r>
    </w:p>
    <w:sectPr>
      <w:pgSz w:w="12240" w:h="15840" w:orient="portrait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0061E4C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44EAFD9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0D0B940D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E27B00A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3F05"/>
    <w:rsid w:val="00AA1D8D"/>
    <w:rsid w:val="00B47730"/>
    <w:rsid w:val="00CB0664"/>
    <w:rsid w:val="00FC693F"/>
    <w:rsid w:val="149F134B"/>
    <w:rsid w:val="3E549605"/>
    <w:rsid w:val="68BC7B0A"/>
    <w:rsid w:val="75252C4D"/>
    <w:rsid w:val="76233860"/>
    <w:rsid w:val="76A3CF81"/>
    <w:rsid w:val="7A77E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37E23975"/>
  <w14:defaultImageDpi w14:val="300"/>
  <w15:docId w15:val="{89B730D9-0009-4E73-A112-1FE8C9DDD01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 w:qFormat="1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qFormat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1"/>
    <w:link w:val="13"/>
    <w:qFormat/>
    <w:uiPriority w:val="99"/>
  </w:style>
  <w:style w:type="character" w:styleId="145" w:customStyle="1">
    <w:name w:val="Body Text 2 Char"/>
    <w:basedOn w:val="11"/>
    <w:link w:val="14"/>
    <w:qFormat/>
    <w:uiPriority w:val="99"/>
  </w:style>
  <w:style w:type="character" w:styleId="146" w:customStyle="1">
    <w:name w:val="Body Text 3 Char"/>
    <w:basedOn w:val="11"/>
    <w:link w:val="15"/>
    <w:qFormat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otnotes" Target="footnotes.xml" Id="rId3" /><Relationship Type="http://schemas.openxmlformats.org/officeDocument/2006/relationships/numbering" Target="numbering.xml" Id="rId7" /><Relationship Type="http://schemas.openxmlformats.org/officeDocument/2006/relationships/customXml" Target="../customXml/item5.xml" Id="rId12" /><Relationship Type="http://schemas.openxmlformats.org/officeDocument/2006/relationships/settings" Target="settings.xml" Id="rId2" /><Relationship Type="http://schemas.openxmlformats.org/officeDocument/2006/relationships/customXml" Target="../customXml/item1.xml" Id="rId6" /><Relationship Type="http://schemas.openxmlformats.org/officeDocument/2006/relationships/styles" Target="styles.xml" Id="rId1" /><Relationship Type="http://schemas.openxmlformats.org/officeDocument/2006/relationships/customXml" Target="../customXml/item4.xml" Id="rId11" /><Relationship Type="http://schemas.openxmlformats.org/officeDocument/2006/relationships/theme" Target="theme/theme1.xml" Id="rId5" /><Relationship Type="http://schemas.openxmlformats.org/officeDocument/2006/relationships/customXml" Target="../customXml/item3.xml" Id="rId10" /><Relationship Type="http://schemas.openxmlformats.org/officeDocument/2006/relationships/fontTable" Target="fontTable.xml" Id="rId9" /><Relationship Type="http://schemas.openxmlformats.org/officeDocument/2006/relationships/endnotes" Target="end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3F5DC139673D429074DFD8E181296E" ma:contentTypeVersion="18" ma:contentTypeDescription="Create a new document." ma:contentTypeScope="" ma:versionID="9ba02010a45c60614769b70b6e6d45eb">
  <xsd:schema xmlns:xsd="http://www.w3.org/2001/XMLSchema" xmlns:xs="http://www.w3.org/2001/XMLSchema" xmlns:p="http://schemas.microsoft.com/office/2006/metadata/properties" xmlns:ns2="8640b595-2143-43ff-ac6d-8ce82c453055" xmlns:ns3="e3889578-ad37-460a-bd8c-8234d4010a14" targetNamespace="http://schemas.microsoft.com/office/2006/metadata/properties" ma:root="true" ma:fieldsID="3c7f916ae2480b655b4d2166605bf4b7" ns2:_="" ns3:_="">
    <xsd:import namespace="8640b595-2143-43ff-ac6d-8ce82c453055"/>
    <xsd:import namespace="e3889578-ad37-460a-bd8c-8234d4010a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tractnumber" minOccurs="0"/>
                <xsd:element ref="ns2:Status" minOccurs="0"/>
                <xsd:element ref="ns2:JobID" minOccurs="0"/>
                <xsd:element ref="ns2:ContractType" minOccurs="0"/>
                <xsd:element ref="ns2:Summa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0b595-2143-43ff-ac6d-8ce82c453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6dd3264-317f-4004-94c6-727cc2f263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tractnumber" ma:index="21" nillable="true" ma:displayName="Contract number" ma:format="Dropdown" ma:internalName="Contractnumber">
      <xsd:simpleType>
        <xsd:restriction base="dms:Text">
          <xsd:maxLength value="255"/>
        </xsd:restriction>
      </xsd:simpleType>
    </xsd:element>
    <xsd:element name="Status" ma:index="22" nillable="true" ma:displayName="Status" ma:format="Dropdown" ma:internalName="Status">
      <xsd:simpleType>
        <xsd:restriction base="dms:Text">
          <xsd:maxLength value="255"/>
        </xsd:restriction>
      </xsd:simpleType>
    </xsd:element>
    <xsd:element name="JobID" ma:index="23" nillable="true" ma:displayName=" Job ID" ma:format="Dropdown" ma:internalName="JobID">
      <xsd:simpleType>
        <xsd:restriction base="dms:Text">
          <xsd:maxLength value="255"/>
        </xsd:restriction>
      </xsd:simpleType>
    </xsd:element>
    <xsd:element name="ContractType" ma:index="24" nillable="true" ma:displayName="Contract Type" ma:format="Dropdown" ma:internalName="ContractType">
      <xsd:simpleType>
        <xsd:restriction base="dms:Text">
          <xsd:maxLength value="255"/>
        </xsd:restriction>
      </xsd:simpleType>
    </xsd:element>
    <xsd:element name="Summary" ma:index="25" nillable="true" ma:displayName="Summary" ma:format="Dropdown" ma:internalName="Summar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89578-ad37-460a-bd8c-8234d4010a1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53bb3af-121d-4c75-b8b8-e2bddeebf8ab}" ma:internalName="TaxCatchAll" ma:showField="CatchAllData" ma:web="e3889578-ad37-460a-bd8c-8234d4010a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889578-ad37-460a-bd8c-8234d4010a14" xsi:nil="true"/>
    <lcf76f155ced4ddcb4097134ff3c332f xmlns="8640b595-2143-43ff-ac6d-8ce82c453055">
      <Terms xmlns="http://schemas.microsoft.com/office/infopath/2007/PartnerControls"/>
    </lcf76f155ced4ddcb4097134ff3c332f>
    <JobID xmlns="8640b595-2143-43ff-ac6d-8ce82c453055" xsi:nil="true"/>
    <ContractType xmlns="8640b595-2143-43ff-ac6d-8ce82c453055" xsi:nil="true"/>
    <Contractnumber xmlns="8640b595-2143-43ff-ac6d-8ce82c453055" xsi:nil="true"/>
    <Summary xmlns="8640b595-2143-43ff-ac6d-8ce82c453055" xsi:nil="true"/>
    <Status xmlns="8640b595-2143-43ff-ac6d-8ce82c453055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1E5409F1-A4FB-4AA9-80D4-C45017C1C260}"/>
</file>

<file path=customXml/itemProps4.xml><?xml version="1.0" encoding="utf-8"?>
<ds:datastoreItem xmlns:ds="http://schemas.openxmlformats.org/officeDocument/2006/customXml" ds:itemID="{27103D26-A617-4ADF-B912-A06D1C3C781B}"/>
</file>

<file path=customXml/itemProps5.xml><?xml version="1.0" encoding="utf-8"?>
<ds:datastoreItem xmlns:ds="http://schemas.openxmlformats.org/officeDocument/2006/customXml" ds:itemID="{293BB727-C3F1-434E-996B-D117256B29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Suriya Singaravel</cp:lastModifiedBy>
  <cp:revision>4</cp:revision>
  <dcterms:created xsi:type="dcterms:W3CDTF">2013-12-23T23:15:00Z</dcterms:created>
  <dcterms:modified xsi:type="dcterms:W3CDTF">2026-06-02T09:20:49Z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2057-11.2.0.10328</vt:lpwstr>
  </property>
  <property fmtid="{D5CDD505-2E9C-101B-9397-08002B2CF9AE}" pid="3" name="ICV">
    <vt:lpwstr>E59FCE1540404F9981A07A936C2EAD45</vt:lpwstr>
  </property>
  <property fmtid="{D5CDD505-2E9C-101B-9397-08002B2CF9AE}" pid="4" name="ContentTypeId">
    <vt:lpwstr>0x0101009E3F5DC139673D429074DFD8E181296E</vt:lpwstr>
  </property>
  <property fmtid="{D5CDD505-2E9C-101B-9397-08002B2CF9AE}" pid="5" name="MediaServiceImageTags">
    <vt:lpwstr/>
  </property>
</Properties>
</file>