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Government Asset Tracking System</w:t>
      </w:r>
    </w:p>
    <w:p>
      <w:pPr>
        <w:pStyle w:val="Subtitle"/>
      </w:pPr>
      <w:r>
        <w:rPr>
          <w:b w:val="0"/>
        </w:rPr>
        <w:t>Project documentation and current implementation</w:t>
      </w:r>
    </w:p>
    <w:p>
      <w:r>
        <w:rPr>
          <w:b/>
        </w:rPr>
        <w:t>AssetGuard  |  Version 1.0.0  |  30 October 2026</w:t>
      </w:r>
    </w:p>
    <w:p>
      <w:pPr>
        <w:pStyle w:val="Heading2"/>
      </w:pPr>
      <w:r>
        <w:t>Project overview</w:t>
      </w:r>
    </w:p>
    <w:p>
      <w:r>
        <w:rPr>
          <w:b w:val="0"/>
        </w:rPr>
        <w:t>We are building a web application that registers government equipment, records who is responsible for it, monitors a Bluetooth observation from a laptop, and raises alerts when connectivity is lost. The current implementation also supports manually simulated transfers between facility zones and records important asset events in a local cryptographic audit ledger.</w:t>
      </w:r>
    </w:p>
    <w:p>
      <w:r>
        <w:rPr>
          <w:b w:val="0"/>
        </w:rPr>
        <w:t>For the demonstration, a mobile phone represents an asset and a laptop runs the backend and monitoring service. Administrators manage records and simulate movement; officers inspect the dashboard, history and ledger. React provides the interface, while Spring Boot handles authentication, validation, tracking rules and persistence.</w:t>
      </w:r>
    </w:p>
    <w:p>
      <w:r>
        <w:rPr>
          <w:b w:val="0"/>
        </w:rPr>
        <w:t>The application is a local indoor demonstration. Bluetooth state does not establish a precise physical location, and the zone simulator records submitted locations rather than sensor measurements. The ledger checks the consistency of stored event data; it does not establish that a physical event really occurred.</w:t>
      </w:r>
    </w:p>
    <w:p>
      <w:pPr>
        <w:pStyle w:val="Heading2"/>
      </w:pPr>
      <w:r>
        <w:t>What this document contains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323"/>
      </w:tblGrid>
      <w:tr>
        <w:trPr>
          <w:tblHeader/>
          <w:cantSplit/>
        </w:trPr>
        <w:tc>
          <w:tcPr>
            <w:tcW w:type="dxa" w:w="1512"/>
            <w:vAlign w:val="center"/>
            <w:shd w:fill="243747"/>
            <w:tcMar>
              <w:top w:w="90" w:type="dxa"/>
              <w:left w:w="90" w:type="dxa"/>
              <w:bottom w:w="90" w:type="dxa"/>
              <w:right w:w="90" w:type="dxa"/>
            </w:tcMar>
          </w:tcPr>
          <w:p>
            <w:pPr>
              <w:spacing w:after="40" w:line="247" w:lineRule="auto"/>
            </w:pPr>
            <w:r>
              <w:rPr>
                <w:b/>
                <w:color w:val="FFFFFF"/>
                <w:sz w:val="18"/>
              </w:rPr>
              <w:t>Section</w:t>
            </w:r>
          </w:p>
        </w:tc>
        <w:tc>
          <w:tcPr>
            <w:tcW w:type="dxa" w:w="8323"/>
            <w:vAlign w:val="center"/>
            <w:shd w:fill="243747"/>
            <w:tcMar>
              <w:top w:w="90" w:type="dxa"/>
              <w:left w:w="90" w:type="dxa"/>
              <w:bottom w:w="90" w:type="dxa"/>
              <w:right w:w="90" w:type="dxa"/>
            </w:tcMar>
          </w:tcPr>
          <w:p>
            <w:pPr>
              <w:spacing w:after="40" w:line="247" w:lineRule="auto"/>
            </w:pPr>
            <w:r>
              <w:rPr>
                <w:b/>
                <w:color w:val="FFFFFF"/>
                <w:sz w:val="18"/>
              </w:rPr>
              <w:t>Coverage</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 to 3</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Objectives and roles, architecture, and technology stack</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4 to 5</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Screens, features and end to end operating workflows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6 to 7</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Database design and field dictionary</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8 to 9</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Session, query and mutation REST endpoints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10 to 12</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Bluetooth monitor, audit ledger, and security controls</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color w:val="111111"/>
                <w:sz w:val="18"/>
              </w:rPr>
              <w:t>13 to 15</w:t>
            </w:r>
          </w:p>
        </w:tc>
        <w:tc>
          <w:tcPr>
            <w:tcW w:type="dxa" w:w="8323"/>
            <w:vAlign w:val="center"/>
            <w:shd w:fill="FFFFFF"/>
            <w:tcMar>
              <w:top w:w="90" w:type="dxa"/>
              <w:left w:w="90" w:type="dxa"/>
              <w:bottom w:w="90" w:type="dxa"/>
              <w:right w:w="90" w:type="dxa"/>
            </w:tcMar>
          </w:tcPr>
          <w:p>
            <w:pPr>
              <w:spacing w:after="40" w:line="247" w:lineRule="auto"/>
            </w:pPr>
            <w:r>
              <w:rPr>
                <w:b w:val="0"/>
                <w:color w:val="111111"/>
                <w:sz w:val="18"/>
              </w:rPr>
              <w:t>Build and operation, testing, limitations and next steps</w:t>
            </w:r>
          </w:p>
        </w:tc>
      </w:tr>
      <w:tr>
        <w:trPr>
          <w:cantSplit/>
        </w:trPr>
        <w:tc>
          <w:tcPr>
            <w:tcW w:type="dxa" w:w="1512"/>
            <w:vAlign w:val="center"/>
            <w:shd w:fill="F1F4F6"/>
            <w:tcMar>
              <w:top w:w="90" w:type="dxa"/>
              <w:left w:w="90" w:type="dxa"/>
              <w:bottom w:w="90" w:type="dxa"/>
              <w:right w:w="90" w:type="dxa"/>
            </w:tcMar>
          </w:tcPr>
          <w:p>
            <w:pPr>
              <w:spacing w:after="40" w:line="247" w:lineRule="auto"/>
            </w:pPr>
            <w:r>
              <w:rPr>
                <w:b w:val="0"/>
                <w:color w:val="111111"/>
                <w:sz w:val="18"/>
              </w:rPr>
              <w:t>16</w:t>
            </w:r>
          </w:p>
        </w:tc>
        <w:tc>
          <w:tcPr>
            <w:tcW w:type="dxa" w:w="8323"/>
            <w:vAlign w:val="center"/>
            <w:shd w:fill="F1F4F6"/>
            <w:tcMar>
              <w:top w:w="90" w:type="dxa"/>
              <w:left w:w="90" w:type="dxa"/>
              <w:bottom w:w="90" w:type="dxa"/>
              <w:right w:w="90" w:type="dxa"/>
            </w:tcMar>
          </w:tcPr>
          <w:p>
            <w:pPr>
              <w:spacing w:after="40" w:line="247" w:lineRule="auto"/>
            </w:pPr>
            <w:r>
              <w:rPr>
                <w:b w:val="0"/>
                <w:color w:val="111111"/>
                <w:sz w:val="18"/>
              </w:rPr>
              <w:t>Implementation map and terminology</w:t>
            </w:r>
          </w:p>
        </w:tc>
      </w:tr>
    </w:tbl>
    <w:p>
      <w:pPr>
        <w:spacing w:after="20"/>
      </w:pPr>
      <w:r>
        <w:rPr>
          <w:b w:val="0"/>
        </w:rPr>
      </w:r>
    </w:p>
    <w:p>
      <w:pPr>
        <w:pStyle w:val="Heading2"/>
      </w:pPr>
      <w:r>
        <w:t>Current implementation position</w:t>
      </w:r>
    </w:p>
    <w:p>
      <w:r>
        <w:rPr>
          <w:b w:val="0"/>
        </w:rPr>
        <w:t>The project contains the React sources, Maven configuration, backend services, test definitions and build scripts. The default database is H2 and the default monitoring mode is Windows. A MySQL profile and Linux probe are available. Critical correctness limitations remain in Windows range detection, alert categorization and the guarantees advertised by the audit ledger.</w:t>
      </w:r>
    </w:p>
    <w:p>
      <w:r>
        <w:br w:type="page"/>
      </w:r>
    </w:p>
    <w:p>
      <w:pPr>
        <w:pStyle w:val="Heading1"/>
      </w:pPr>
      <w:r>
        <w:t>1 Objectives scope and user roles</w:t>
      </w:r>
    </w:p>
    <w:p>
      <w:pPr>
        <w:pStyle w:val="Heading2"/>
      </w:pPr>
      <w:r>
        <w:t>Problem being addressed</w:t>
      </w:r>
    </w:p>
    <w:p>
      <w:r>
        <w:rPr>
          <w:b w:val="0"/>
        </w:rPr>
        <w:t>Departments need an organized record of laptops, phones and equipment, a named officer responsible for each device, a visible connection state and an event history. A monitoring station can help demonstrate how a connectivity loss triggers a review, while a movement simulator demonstrates permission rules for named facility zones.</w:t>
      </w:r>
    </w:p>
    <w:p>
      <w:pPr>
        <w:pStyle w:val="Heading2"/>
      </w:pPr>
      <w:r>
        <w:t>Project objectives</w:t>
      </w:r>
    </w:p>
    <w:p>
      <w:pPr>
        <w:pStyle w:val="ListBullet"/>
        <w:spacing w:after="80"/>
      </w:pPr>
      <w:r>
        <w:rPr>
          <w:b w:val="0"/>
        </w:rPr>
        <w:t>Maintain an asset registry with unique serial numbers and Bluetooth addresses, department assignments and responsible officers.</w:t>
      </w:r>
    </w:p>
    <w:p>
      <w:pPr>
        <w:pStyle w:val="ListBullet"/>
        <w:spacing w:after="80"/>
      </w:pPr>
      <w:r>
        <w:rPr>
          <w:b w:val="0"/>
        </w:rPr>
        <w:t>Show the last observed connection state and create an alert when the state becomes disconnected.</w:t>
      </w:r>
    </w:p>
    <w:p>
      <w:pPr>
        <w:pStyle w:val="ListBullet"/>
        <w:spacing w:after="80"/>
      </w:pPr>
      <w:r>
        <w:rPr>
          <w:b w:val="0"/>
        </w:rPr>
        <w:t>Record connection changes and location transfers with timestamps that are displayed in the browser local time.</w:t>
      </w:r>
    </w:p>
    <w:p>
      <w:pPr>
        <w:pStyle w:val="ListBullet"/>
        <w:spacing w:after="80"/>
      </w:pPr>
      <w:r>
        <w:rPr>
          <w:b w:val="0"/>
        </w:rPr>
        <w:t>Compare a submitted destination with an asset specific list of permitted zones and flag unauthorized movement.</w:t>
      </w:r>
    </w:p>
    <w:p>
      <w:pPr>
        <w:pStyle w:val="ListBullet"/>
        <w:spacing w:after="80"/>
      </w:pPr>
      <w:r>
        <w:rPr>
          <w:b w:val="0"/>
        </w:rPr>
        <w:t>Record asset lifecycle and tracking events in a local SHA-256 hash chain and provide an integrity checking interface.</w:t>
      </w:r>
    </w:p>
    <w:p>
      <w:pPr>
        <w:pStyle w:val="Heading2"/>
      </w:pPr>
      <w:r>
        <w:t>Roles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5"/>
        <w:gridCol w:w="1800"/>
        <w:gridCol w:w="1800"/>
      </w:tblGrid>
      <w:tr>
        <w:trPr>
          <w:tblHeader/>
          <w:cantSplit/>
        </w:trPr>
        <w:tc>
          <w:tcPr>
            <w:tcW w:type="dxa" w:w="6235"/>
            <w:vAlign w:val="center"/>
            <w:shd w:fill="243747"/>
            <w:tcMar>
              <w:top w:w="90" w:type="dxa"/>
              <w:left w:w="90" w:type="dxa"/>
              <w:bottom w:w="90" w:type="dxa"/>
              <w:right w:w="90" w:type="dxa"/>
            </w:tcMar>
          </w:tcPr>
          <w:p>
            <w:pPr>
              <w:spacing w:after="40" w:line="247" w:lineRule="auto"/>
              <w:jc w:val="left"/>
            </w:pPr>
            <w:r>
              <w:rPr>
                <w:b/>
                <w:color w:val="FFFFFF"/>
                <w:sz w:val="18"/>
              </w:rPr>
              <w:t>Capability</w:t>
            </w:r>
          </w:p>
        </w:tc>
        <w:tc>
          <w:tcPr>
            <w:tcW w:type="dxa" w:w="1800"/>
            <w:vAlign w:val="center"/>
            <w:shd w:fill="243747"/>
            <w:tcMar>
              <w:top w:w="90" w:type="dxa"/>
              <w:left w:w="90" w:type="dxa"/>
              <w:bottom w:w="90" w:type="dxa"/>
              <w:right w:w="90" w:type="dxa"/>
            </w:tcMar>
          </w:tcPr>
          <w:p>
            <w:pPr>
              <w:spacing w:after="40" w:line="247" w:lineRule="auto"/>
            </w:pPr>
            <w:r>
              <w:rPr>
                <w:b/>
                <w:color w:val="FFFFFF"/>
                <w:sz w:val="18"/>
              </w:rPr>
              <w:t>Admin</w:t>
            </w:r>
          </w:p>
        </w:tc>
        <w:tc>
          <w:tcPr>
            <w:tcW w:type="dxa" w:w="1800"/>
            <w:vAlign w:val="center"/>
            <w:shd w:fill="243747"/>
            <w:tcMar>
              <w:top w:w="90" w:type="dxa"/>
              <w:left w:w="90" w:type="dxa"/>
              <w:bottom w:w="90" w:type="dxa"/>
              <w:right w:w="90" w:type="dxa"/>
            </w:tcMar>
          </w:tcPr>
          <w:p>
            <w:pPr>
              <w:spacing w:after="40" w:line="247" w:lineRule="auto"/>
            </w:pPr>
            <w:r>
              <w:rPr>
                <w:b/>
                <w:color w:val="FFFFFF"/>
                <w:sz w:val="18"/>
              </w:rPr>
              <w:t>Officer</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Sign in and sign out</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View registry dashboard alerts and history</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Inspect ledger and run an integrity check</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Register edit and delete assets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No</w:t>
            </w:r>
          </w:p>
        </w:tc>
      </w:tr>
      <w:tr>
        <w:trPr>
          <w:cantSplit/>
        </w:trPr>
        <w:tc>
          <w:tcPr>
            <w:tcW w:type="dxa" w:w="6235"/>
            <w:vAlign w:val="center"/>
            <w:shd w:fill="F1F4F6"/>
            <w:tcMar>
              <w:top w:w="90" w:type="dxa"/>
              <w:left w:w="90" w:type="dxa"/>
              <w:bottom w:w="90" w:type="dxa"/>
              <w:right w:w="90" w:type="dxa"/>
            </w:tcMar>
          </w:tcPr>
          <w:p>
            <w:pPr>
              <w:spacing w:after="40" w:line="247" w:lineRule="auto"/>
              <w:jc w:val="left"/>
            </w:pPr>
            <w:r>
              <w:rPr>
                <w:b w:val="0"/>
                <w:color w:val="111111"/>
                <w:sz w:val="18"/>
              </w:rPr>
              <w:t>Submit a location transfer</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1F4F6"/>
            <w:tcMar>
              <w:top w:w="90" w:type="dxa"/>
              <w:left w:w="90" w:type="dxa"/>
              <w:bottom w:w="90" w:type="dxa"/>
              <w:right w:w="90" w:type="dxa"/>
            </w:tcMar>
          </w:tcPr>
          <w:p>
            <w:pPr>
              <w:spacing w:after="40" w:line="247" w:lineRule="auto"/>
            </w:pPr>
            <w:r>
              <w:rPr>
                <w:b w:val="0"/>
                <w:color w:val="111111"/>
                <w:sz w:val="18"/>
              </w:rPr>
              <w:t>No</w:t>
            </w:r>
          </w:p>
        </w:tc>
      </w:tr>
      <w:tr>
        <w:trPr>
          <w:cantSplit/>
        </w:trPr>
        <w:tc>
          <w:tcPr>
            <w:tcW w:type="dxa" w:w="6235"/>
            <w:vAlign w:val="center"/>
            <w:shd w:fill="FFFFFF"/>
            <w:tcMar>
              <w:top w:w="90" w:type="dxa"/>
              <w:left w:w="90" w:type="dxa"/>
              <w:bottom w:w="90" w:type="dxa"/>
              <w:right w:w="90" w:type="dxa"/>
            </w:tcMar>
          </w:tcPr>
          <w:p>
            <w:pPr>
              <w:spacing w:after="40" w:line="247" w:lineRule="auto"/>
              <w:jc w:val="left"/>
            </w:pPr>
            <w:r>
              <w:rPr>
                <w:b w:val="0"/>
                <w:color w:val="111111"/>
                <w:sz w:val="18"/>
              </w:rPr>
              <w:t>Simulate connection state in demo mode</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Yes</w:t>
            </w:r>
          </w:p>
        </w:tc>
        <w:tc>
          <w:tcPr>
            <w:tcW w:type="dxa" w:w="1800"/>
            <w:vAlign w:val="center"/>
            <w:shd w:fill="FFFFFF"/>
            <w:tcMar>
              <w:top w:w="90" w:type="dxa"/>
              <w:left w:w="90" w:type="dxa"/>
              <w:bottom w:w="90" w:type="dxa"/>
              <w:right w:w="90" w:type="dxa"/>
            </w:tcMar>
          </w:tcPr>
          <w:p>
            <w:pPr>
              <w:spacing w:after="40" w:line="247" w:lineRule="auto"/>
            </w:pPr>
            <w:r>
              <w:rPr>
                <w:b w:val="0"/>
                <w:color w:val="111111"/>
                <w:sz w:val="18"/>
              </w:rPr>
              <w:t>No</w:t>
            </w:r>
          </w:p>
        </w:tc>
      </w:tr>
    </w:tbl>
    <w:p>
      <w:pPr>
        <w:spacing w:after="20"/>
      </w:pPr>
      <w:r>
        <w:rPr>
          <w:b w:val="0"/>
        </w:rPr>
      </w:r>
    </w:p>
    <w:p>
      <w:r>
        <w:rPr>
          <w:b w:val="0"/>
        </w:rPr>
        <w:t>The assignment in assignedTo is a free text officer name. It is not a database relationship to a user account and does not restrict an officer to assigned assets. Both authenticated roles can read all departments. The movement simulator is visible to officers, but the backend rejects their mutation requests.</w:t>
      </w:r>
    </w:p>
    <w:p>
      <w:pPr>
        <w:pStyle w:val="Heading2"/>
      </w:pPr>
      <w:r>
        <w:t>Scope boundaries</w:t>
      </w:r>
    </w:p>
    <w:p>
      <w:r>
        <w:rPr>
          <w:b w:val="0"/>
        </w:rPr>
        <w:t>The current application covers a single monitoring station and a local web interface. It does not include automatic GPS tracking, radio signal distance estimation, live map coordinates, distributed sensor gateways, approval based transfers, email or SMS delivery, or a government identity provider. The project name describes the intended asset use case and does not imply government certification or production approval.</w:t>
      </w:r>
    </w:p>
    <w:p>
      <w:r>
        <w:br w:type="page"/>
      </w:r>
    </w:p>
    <w:p>
      <w:pPr>
        <w:pStyle w:val="Heading1"/>
      </w:pPr>
      <w:r>
        <w:t>2 Architecture and application flow</w:t>
      </w:r>
    </w:p>
    <w:p>
      <w:r>
        <w:rPr>
          <w:b w:val="0"/>
        </w:rPr>
        <w:t>The packaged application runs one Spring Boot process on the laptop. It serves the built React files and the REST API on the same origin. This keeps browser session cookies and CSRF handling within a single local application.</w:t>
      </w:r>
    </w:p>
    <w:p>
      <w:r>
        <w:drawing>
          <wp:inline xmlns:a="http://schemas.openxmlformats.org/drawingml/2006/main" xmlns:pic="http://schemas.openxmlformats.org/drawingml/2006/picture">
            <wp:extent cx="6199632" cy="251429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99632" cy="2514295"/>
                    </a:xfrm>
                    <a:prstGeom prst="rect"/>
                  </pic:spPr>
                </pic:pic>
              </a:graphicData>
            </a:graphic>
          </wp:inline>
        </w:drawing>
      </w:r>
    </w:p>
    <w:p>
      <w:pPr>
        <w:pStyle w:val="Caption"/>
      </w:pPr>
      <w:r>
        <w:rPr>
          <w:b w:val="0"/>
        </w:rPr>
        <w:t>Figure 1 Application components and data flow</w:t>
      </w:r>
    </w:p>
    <w:p>
      <w:pPr>
        <w:pStyle w:val="Heading2"/>
      </w:pPr>
      <w:r>
        <w:t>Browser request path</w:t>
      </w:r>
    </w:p>
    <w:p>
      <w:r>
        <w:rPr>
          <w:b w:val="0"/>
        </w:rPr>
        <w:t>React checks /api/session before rendering protected pages. It obtains JSON through the Fetch API and sends a fresh CSRF header before mutations. Spring Security authenticates the session and enforces admin permissions. ApiController validates input records and calls TrackingService. Repositories persist the resulting asset state, logs, alerts and ledger blocks.</w:t>
      </w:r>
    </w:p>
    <w:p>
      <w:pPr>
        <w:pStyle w:val="Heading2"/>
      </w:pPr>
      <w:r>
        <w:t>Monitoring path</w:t>
      </w:r>
    </w:p>
    <w:p>
      <w:r>
        <w:rPr>
          <w:b w:val="0"/>
        </w:rPr>
        <w:t>BluetoothMonitor runs on a fixed delay schedule and executes an operating system command for each asset. A successful probe produces a connected or disconnected observation. TrackingService applies a state change, records the log, creates or resolves alerts and appends the relevant ledger event. The browser learns about changes through polling rather than a server push channel.</w:t>
      </w:r>
    </w:p>
    <w:p>
      <w:pPr>
        <w:pStyle w:val="Heading2"/>
      </w:pPr>
      <w:r>
        <w:t>Data and transaction boundaries</w:t>
      </w:r>
    </w:p>
    <w:p>
      <w:r>
        <w:rPr>
          <w:b w:val="0"/>
        </w:rPr>
        <w:t>TrackingService uses Spring transactions and a pessimistic database row lock when updating an existing asset. Repeated observations of the same status return without adding another transition log. Logs and alerts store asset identifiers and names as snapshots rather than using JPA entity relationships, allowing history to remain after deletion.</w:t>
      </w:r>
    </w:p>
    <w:p>
      <w:pPr>
        <w:pStyle w:val="Heading2"/>
      </w:pPr>
      <w:r>
        <w:t>Development and packaged execution</w:t>
      </w:r>
    </w:p>
    <w:p>
      <w:r>
        <w:rPr>
          <w:b w:val="0"/>
        </w:rPr>
        <w:t>During development, Vite normally serves React on port 5173 and proxies /api to the backend on port 8080. For packaging, Vite writes frontend/dist. Maven copies that output into the JAR static resources. Node.js is needed to build the interface, but a separate Node server is not needed to run the finished JAR.</w:t>
      </w:r>
    </w:p>
    <w:p>
      <w:r>
        <w:br w:type="page"/>
      </w:r>
    </w:p>
    <w:p>
      <w:pPr>
        <w:pStyle w:val="Heading1"/>
      </w:pPr>
      <w:r>
        <w:t>3 Technology stack and dependencies</w:t>
      </w:r>
    </w:p>
    <w:p>
      <w:r>
        <w:rPr>
          <w:b w:val="0"/>
        </w:rPr>
        <w:t>The versions below distinguish the declared backend baseline from frontend versions resolved in package-lock.json. Dependency upgrades can change the locked frontend versions; the lock file is the reproducibility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5011"/>
      </w:tblGrid>
      <w:tr>
        <w:trPr>
          <w:tblHeader/>
          <w:cantSplit/>
        </w:trPr>
        <w:tc>
          <w:tcPr>
            <w:tcW w:type="dxa" w:w="1584"/>
            <w:vAlign w:val="center"/>
            <w:shd w:fill="243747"/>
            <w:tcMar>
              <w:top w:w="90" w:type="dxa"/>
              <w:left w:w="90" w:type="dxa"/>
              <w:bottom w:w="90" w:type="dxa"/>
              <w:right w:w="90" w:type="dxa"/>
            </w:tcMar>
          </w:tcPr>
          <w:p>
            <w:pPr>
              <w:spacing w:after="40" w:line="247" w:lineRule="auto"/>
              <w:jc w:val="left"/>
            </w:pPr>
            <w:r>
              <w:rPr>
                <w:b/>
                <w:color w:val="FFFFFF"/>
                <w:sz w:val="17"/>
              </w:rPr>
              <w:t>Layer</w:t>
            </w:r>
          </w:p>
        </w:tc>
        <w:tc>
          <w:tcPr>
            <w:tcW w:type="dxa" w:w="3240"/>
            <w:vAlign w:val="center"/>
            <w:shd w:fill="243747"/>
            <w:tcMar>
              <w:top w:w="90" w:type="dxa"/>
              <w:left w:w="90" w:type="dxa"/>
              <w:bottom w:w="90" w:type="dxa"/>
              <w:right w:w="90" w:type="dxa"/>
            </w:tcMar>
          </w:tcPr>
          <w:p>
            <w:pPr>
              <w:spacing w:after="40" w:line="247" w:lineRule="auto"/>
            </w:pPr>
            <w:r>
              <w:rPr>
                <w:b/>
                <w:color w:val="FFFFFF"/>
                <w:sz w:val="17"/>
              </w:rPr>
              <w:t>Technology</w:t>
            </w:r>
          </w:p>
        </w:tc>
        <w:tc>
          <w:tcPr>
            <w:tcW w:type="dxa" w:w="5011"/>
            <w:vAlign w:val="center"/>
            <w:shd w:fill="243747"/>
            <w:tcMar>
              <w:top w:w="90" w:type="dxa"/>
              <w:left w:w="90" w:type="dxa"/>
              <w:bottom w:w="90" w:type="dxa"/>
              <w:right w:w="90" w:type="dxa"/>
            </w:tcMar>
          </w:tcPr>
          <w:p>
            <w:pPr>
              <w:spacing w:after="40" w:line="247" w:lineRule="auto"/>
            </w:pPr>
            <w:r>
              <w:rPr>
                <w:b/>
                <w:color w:val="FFFFFF"/>
                <w:sz w:val="17"/>
              </w:rPr>
              <w:t>Current version or role</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Language</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Java</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Maven compilation target 17</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Backend framework</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Spring Boot</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3.5.7 from pom.xml</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HTTP and API</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Web and embedded Tomcat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REST controllers and static React hosting</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Persistence</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Spring Data JPA and Hibernate</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Repository operations and entity mapping</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Security</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Security and BCrypt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Sessions roles password hashes and CSRF</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Validation</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Jakarta Validation</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Required fields size limits and MAC format</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Scheduling</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Scheduling</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@Scheduled background monitor</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Local database</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H2</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File database under data/assets</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Optional database</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MySQL and Connector J</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Enabled using the mysql Spring profile</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Frontend</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React and React DOM</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19.3.1 resolved in lock file</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Routing</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React Router DOM</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7.18.5 resolved</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Bundler</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Vite and React plugin</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7.3.7 and 5.2.0 resolved</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Web presentation</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HTML CSS JavaScript JSX SVG</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Custom styles icons and browser APIs</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Frontend tests</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Vitest jsdom Testing Library</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Vitest 3.2.7 jsdom 26.1.0 React testing 16.3.3</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Backend tests</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Spring Boot Test and Security Test</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JUnit assertions and MockMvc integration tests</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Build tools</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Maven npm PowerShell</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JAR packaging locked install and build scripts</w:t>
            </w:r>
          </w:p>
        </w:tc>
      </w:tr>
      <w:tr>
        <w:trPr>
          <w:cantSplit/>
        </w:trPr>
        <w:tc>
          <w:tcPr>
            <w:tcW w:type="dxa" w:w="1584"/>
            <w:vAlign w:val="center"/>
            <w:shd w:fill="F1F4F6"/>
            <w:tcMar>
              <w:top w:w="90" w:type="dxa"/>
              <w:left w:w="90" w:type="dxa"/>
              <w:bottom w:w="90" w:type="dxa"/>
              <w:right w:w="90" w:type="dxa"/>
            </w:tcMar>
          </w:tcPr>
          <w:p>
            <w:pPr>
              <w:spacing w:after="40" w:line="247" w:lineRule="auto"/>
              <w:jc w:val="left"/>
            </w:pPr>
            <w:r>
              <w:rPr>
                <w:b w:val="0"/>
                <w:color w:val="111111"/>
                <w:sz w:val="17"/>
              </w:rPr>
              <w:t>OS integration</w:t>
            </w:r>
          </w:p>
        </w:tc>
        <w:tc>
          <w:tcPr>
            <w:tcW w:type="dxa" w:w="3240"/>
            <w:vAlign w:val="center"/>
            <w:shd w:fill="F1F4F6"/>
            <w:tcMar>
              <w:top w:w="90" w:type="dxa"/>
              <w:left w:w="90" w:type="dxa"/>
              <w:bottom w:w="90" w:type="dxa"/>
              <w:right w:w="90" w:type="dxa"/>
            </w:tcMar>
          </w:tcPr>
          <w:p>
            <w:pPr>
              <w:spacing w:after="40" w:line="247" w:lineRule="auto"/>
            </w:pPr>
            <w:r>
              <w:rPr>
                <w:b w:val="0"/>
                <w:color w:val="111111"/>
                <w:sz w:val="17"/>
              </w:rPr>
              <w:t>PowerShell and BlueZ</w:t>
            </w:r>
          </w:p>
        </w:tc>
        <w:tc>
          <w:tcPr>
            <w:tcW w:type="dxa" w:w="5011"/>
            <w:vAlign w:val="center"/>
            <w:shd w:fill="F1F4F6"/>
            <w:tcMar>
              <w:top w:w="90" w:type="dxa"/>
              <w:left w:w="90" w:type="dxa"/>
              <w:bottom w:w="90" w:type="dxa"/>
              <w:right w:w="90" w:type="dxa"/>
            </w:tcMar>
          </w:tcPr>
          <w:p>
            <w:pPr>
              <w:spacing w:after="40" w:line="247" w:lineRule="auto"/>
            </w:pPr>
            <w:r>
              <w:rPr>
                <w:b w:val="0"/>
                <w:color w:val="111111"/>
                <w:sz w:val="17"/>
              </w:rPr>
              <w:t>Get-PnpDevice on Windows bluetoothctl on Linux</w:t>
            </w:r>
          </w:p>
        </w:tc>
      </w:tr>
      <w:tr>
        <w:trPr>
          <w:cantSplit/>
        </w:trPr>
        <w:tc>
          <w:tcPr>
            <w:tcW w:type="dxa" w:w="1584"/>
            <w:vAlign w:val="center"/>
            <w:shd w:fill="FFFFFF"/>
            <w:tcMar>
              <w:top w:w="90" w:type="dxa"/>
              <w:left w:w="90" w:type="dxa"/>
              <w:bottom w:w="90" w:type="dxa"/>
              <w:right w:w="90" w:type="dxa"/>
            </w:tcMar>
          </w:tcPr>
          <w:p>
            <w:pPr>
              <w:spacing w:after="40" w:line="247" w:lineRule="auto"/>
              <w:jc w:val="left"/>
            </w:pPr>
            <w:r>
              <w:rPr>
                <w:b w:val="0"/>
                <w:color w:val="111111"/>
                <w:sz w:val="17"/>
              </w:rPr>
              <w:t>Ledger algorithm</w:t>
            </w:r>
          </w:p>
        </w:tc>
        <w:tc>
          <w:tcPr>
            <w:tcW w:type="dxa" w:w="3240"/>
            <w:vAlign w:val="center"/>
            <w:shd w:fill="FFFFFF"/>
            <w:tcMar>
              <w:top w:w="90" w:type="dxa"/>
              <w:left w:w="90" w:type="dxa"/>
              <w:bottom w:w="90" w:type="dxa"/>
              <w:right w:w="90" w:type="dxa"/>
            </w:tcMar>
          </w:tcPr>
          <w:p>
            <w:pPr>
              <w:spacing w:after="40" w:line="247" w:lineRule="auto"/>
            </w:pPr>
            <w:r>
              <w:rPr>
                <w:b w:val="0"/>
                <w:color w:val="111111"/>
                <w:sz w:val="17"/>
              </w:rPr>
              <w:t>Java MessageDigest SHA-256</w:t>
            </w:r>
          </w:p>
        </w:tc>
        <w:tc>
          <w:tcPr>
            <w:tcW w:type="dxa" w:w="5011"/>
            <w:vAlign w:val="center"/>
            <w:shd w:fill="FFFFFF"/>
            <w:tcMar>
              <w:top w:w="90" w:type="dxa"/>
              <w:left w:w="90" w:type="dxa"/>
              <w:bottom w:w="90" w:type="dxa"/>
              <w:right w:w="90" w:type="dxa"/>
            </w:tcMar>
          </w:tcPr>
          <w:p>
            <w:pPr>
              <w:spacing w:after="40" w:line="247" w:lineRule="auto"/>
            </w:pPr>
            <w:r>
              <w:rPr>
                <w:b w:val="0"/>
                <w:color w:val="111111"/>
                <w:sz w:val="17"/>
              </w:rPr>
              <w:t>Hash linkage and a small proof of work loop</w:t>
            </w:r>
          </w:p>
        </w:tc>
      </w:tr>
    </w:tbl>
    <w:p>
      <w:pPr>
        <w:spacing w:after="20"/>
      </w:pPr>
      <w:r>
        <w:rPr>
          <w:b w:val="0"/>
        </w:rPr>
      </w:r>
    </w:p>
    <w:p>
      <w:r>
        <w:rPr>
          <w:b w:val="0"/>
        </w:rPr>
        <w:t>Spring Boot manages most Java dependency versions through its parent configuration. The project does not currently use JSP, JSTL, Jasper, Bootstrap, BlueCove, PyBluez, Bleak, WebSockets, a GPS service, Ethereum or Hyperledger. The cryptographic ledger is implemented directly in Java and stored in the application database.</w:t>
      </w:r>
    </w:p>
    <w:p>
      <w:r>
        <w:br w:type="page"/>
      </w:r>
    </w:p>
    <w:p>
      <w:pPr>
        <w:pStyle w:val="Heading1"/>
      </w:pPr>
      <w:r>
        <w:t>4 Interface screens and implemented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47"/>
      </w:tblGrid>
      <w:tr>
        <w:trPr>
          <w:tblHeader/>
          <w:cantSplit/>
        </w:trPr>
        <w:tc>
          <w:tcPr>
            <w:tcW w:type="dxa" w:w="2088"/>
            <w:vAlign w:val="center"/>
            <w:shd w:fill="243747"/>
            <w:tcMar>
              <w:top w:w="90" w:type="dxa"/>
              <w:left w:w="90" w:type="dxa"/>
              <w:bottom w:w="90" w:type="dxa"/>
              <w:right w:w="90" w:type="dxa"/>
            </w:tcMar>
          </w:tcPr>
          <w:p>
            <w:pPr>
              <w:spacing w:after="40" w:line="247" w:lineRule="auto"/>
            </w:pPr>
            <w:r>
              <w:rPr>
                <w:b/>
                <w:color w:val="FFFFFF"/>
                <w:sz w:val="18"/>
              </w:rPr>
              <w:t>Screen or route</w:t>
            </w:r>
          </w:p>
        </w:tc>
        <w:tc>
          <w:tcPr>
            <w:tcW w:type="dxa" w:w="7747"/>
            <w:vAlign w:val="center"/>
            <w:shd w:fill="243747"/>
            <w:tcMar>
              <w:top w:w="90" w:type="dxa"/>
              <w:left w:w="90" w:type="dxa"/>
              <w:bottom w:w="90" w:type="dxa"/>
              <w:right w:w="90" w:type="dxa"/>
            </w:tcMar>
          </w:tcPr>
          <w:p>
            <w:pPr>
              <w:spacing w:after="40" w:line="247" w:lineRule="auto"/>
            </w:pPr>
            <w:r>
              <w:rPr>
                <w:b/>
                <w:color w:val="FFFFFF"/>
                <w:sz w:val="18"/>
              </w:rPr>
              <w:t>What the user can do</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/login</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Sign in using username and password. Login errors are shown in place. Notification permission is requested after successful sign in when supported.</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 overview</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View registered assets connected count open alert count and total ledger blocks. Search by identity department officer zone or status.</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/assets/new</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Register a device with serial number MAC department officer current location and permitted places.</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/assets/{id}/edit</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Update asset metadata and permitted zones. The existing Bluetooth address is read only.</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/simulation</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Select an asset choose a predefined zone or type a custom destination. Show permitted and restricted choices and the transfer result.</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11111"/>
                <w:sz w:val="18"/>
              </w:rPr>
              <w:t>/blockchain</w:t>
            </w:r>
          </w:p>
        </w:tc>
        <w:tc>
          <w:tcPr>
            <w:tcW w:type="dxa" w:w="7747"/>
            <w:vAlign w:val="center"/>
            <w:shd w:fill="FFFFFF"/>
            <w:tcMar>
              <w:top w:w="90" w:type="dxa"/>
              <w:left w:w="90" w:type="dxa"/>
              <w:bottom w:w="90" w:type="dxa"/>
              <w:right w:w="90" w:type="dxa"/>
            </w:tcMar>
          </w:tcPr>
          <w:p>
            <w:pPr>
              <w:spacing w:after="40" w:line="247" w:lineRule="auto"/>
            </w:pPr>
            <w:r>
              <w:rPr>
                <w:b w:val="0"/>
                <w:color w:val="111111"/>
                <w:sz w:val="18"/>
              </w:rPr>
              <w:t>Inspect blocks newest first including action path authorization hashes timestamp nonce and operator. Request an integrity audit.</w:t>
            </w:r>
          </w:p>
        </w:tc>
      </w:tr>
      <w:tr>
        <w:trPr>
          <w:cantSplit/>
        </w:trPr>
        <w:tc>
          <w:tcPr>
            <w:tcW w:type="dxa" w:w="2088"/>
            <w:vAlign w:val="center"/>
            <w:shd w:fill="F1F4F6"/>
            <w:tcMar>
              <w:top w:w="90" w:type="dxa"/>
              <w:left w:w="90" w:type="dxa"/>
              <w:bottom w:w="90" w:type="dxa"/>
              <w:right w:w="90" w:type="dxa"/>
            </w:tcMar>
          </w:tcPr>
          <w:p>
            <w:pPr>
              <w:spacing w:after="40" w:line="247" w:lineRule="auto"/>
            </w:pPr>
            <w:r>
              <w:rPr>
                <w:b w:val="0"/>
                <w:color w:val="111111"/>
                <w:sz w:val="18"/>
              </w:rPr>
              <w:t>/reports</w:t>
            </w:r>
          </w:p>
        </w:tc>
        <w:tc>
          <w:tcPr>
            <w:tcW w:type="dxa" w:w="7747"/>
            <w:vAlign w:val="center"/>
            <w:shd w:fill="F1F4F6"/>
            <w:tcMar>
              <w:top w:w="90" w:type="dxa"/>
              <w:left w:w="90" w:type="dxa"/>
              <w:bottom w:w="90" w:type="dxa"/>
              <w:right w:w="90" w:type="dxa"/>
            </w:tcMar>
          </w:tcPr>
          <w:p>
            <w:pPr>
              <w:spacing w:after="40" w:line="247" w:lineRule="auto"/>
            </w:pPr>
            <w:r>
              <w:rPr>
                <w:b w:val="0"/>
                <w:color w:val="111111"/>
                <w:sz w:val="18"/>
              </w:rPr>
              <w:t>Inspect the latest 100 connection and location events with browser local timestamps.</w:t>
            </w:r>
          </w:p>
        </w:tc>
      </w:tr>
    </w:tbl>
    <w:p>
      <w:pPr>
        <w:spacing w:after="20"/>
      </w:pPr>
      <w:r>
        <w:rPr>
          <w:b w:val="0"/>
        </w:rPr>
      </w:r>
    </w:p>
    <w:p>
      <w:pPr>
        <w:pStyle w:val="Heading2"/>
      </w:pPr>
      <w:r>
        <w:t>Live updates and interaction behavior</w:t>
      </w:r>
    </w:p>
    <w:p>
      <w:r>
        <w:rPr>
          <w:b w:val="0"/>
        </w:rPr>
        <w:t>The shared useResource hook requests data immediately and polls every five seconds where enabled. It prevents overlapping requests within the active polling effect, stops polling when unmounted and retains the last successfully loaded data if a refresh fails. Dashboard search and form data remain in React state instead of being cleared by a full page reload.</w:t>
      </w:r>
    </w:p>
    <w:p>
      <w:r>
        <w:rPr>
          <w:b w:val="0"/>
        </w:rPr>
        <w:t>Admins see edit, delete and shift controls. Manual connection buttons appear only when the backend reports demo mode. Asset deletion uses a browser confirmation. Input fields show validation feedback and retain entered values when a request is rejected. The application has responsive CSS layouts and uses inline SVG icons.</w:t>
      </w:r>
    </w:p>
    <w:p>
      <w:pPr>
        <w:pStyle w:val="Heading2"/>
      </w:pPr>
      <w:r>
        <w:t>Browser notification behavior</w:t>
      </w:r>
    </w:p>
    <w:p>
      <w:r>
        <w:rPr>
          <w:b w:val="0"/>
        </w:rPr>
        <w:t>The dashboard compares the current open alert count with its previous count. If the count rises and browser notification permission is granted, it displays a notification using the most recent unresolved alert. A fixed notification tag replaces the preceding popup. This is a foreground dashboard feature, not background push delivery; it requires the page and browser support. Movement alerts can also trigger the notification even though its title describes a Bluetooth alert.</w:t>
      </w:r>
    </w:p>
    <w:p>
      <w:r>
        <w:br w:type="page"/>
      </w:r>
    </w:p>
    <w:p>
      <w:pPr>
        <w:pStyle w:val="Heading1"/>
      </w:pPr>
      <w:r>
        <w:t>5 Main operating workflows</w:t>
      </w:r>
    </w:p>
    <w:p>
      <w:pPr>
        <w:pStyle w:val="Heading2"/>
      </w:pPr>
      <w:r>
        <w:t>Register and manage an asset</w:t>
      </w:r>
    </w:p>
    <w:p>
      <w:r>
        <w:rPr>
          <w:b w:val="0"/>
        </w:rPr>
        <w:t>An admin signs in, opens Register asset and submits the identity and assignment fields. The backend validates the MAC format and required values, then stores an UNKNOWN connection state. Serial numbers and Bluetooth addresses are unique. Registration appends an ASSET_REGISTERED block. Editing appends ASSET_UPDATED; deletion closes open alerts, writes ASSET_DELETED and retains existing history records.</w:t>
      </w:r>
    </w:p>
    <w:p>
      <w:pPr>
        <w:pStyle w:val="Heading2"/>
      </w:pPr>
      <w:r>
        <w:t>Observe loss and reconnection</w:t>
      </w:r>
    </w:p>
    <w:p>
      <w:pPr>
        <w:pStyle w:val="ListBullet"/>
        <w:spacing w:after="80"/>
      </w:pPr>
      <w:r>
        <w:rPr>
          <w:b w:val="0"/>
        </w:rPr>
        <w:t>The monitor or demo button submits a new observation. Identical consecutive states are ignored.</w:t>
      </w:r>
    </w:p>
    <w:p>
      <w:pPr>
        <w:pStyle w:val="ListBullet"/>
        <w:spacing w:after="80"/>
      </w:pPr>
      <w:r>
        <w:rPr>
          <w:b w:val="0"/>
        </w:rPr>
        <w:t>On a transition to DISCONNECTED, the service writes a tracking log. If the asset has no unresolved alert, it creates a connection alert and a STATUS_ALERT block.</w:t>
      </w:r>
    </w:p>
    <w:p>
      <w:pPr>
        <w:pStyle w:val="ListBullet"/>
        <w:spacing w:after="80"/>
      </w:pPr>
      <w:r>
        <w:rPr>
          <w:b w:val="0"/>
        </w:rPr>
        <w:t>On a transition to CONNECTED, the service writes a log, resolves open alerts for the asset and writes a STATUS_CHANGE block.</w:t>
      </w:r>
    </w:p>
    <w:p>
      <w:pPr>
        <w:pStyle w:val="ListBullet"/>
        <w:spacing w:after="80"/>
      </w:pPr>
      <w:r>
        <w:rPr>
          <w:b w:val="0"/>
        </w:rPr>
        <w:t>The dashboard discovers the change during a later poll and may display a browser notification if the open alert count increases.</w:t>
      </w:r>
    </w:p>
    <w:p>
      <w:r>
        <w:rPr>
          <w:b w:val="0"/>
        </w:rPr>
        <w:t>The first observation may be disconnected and still create an alert. The current reconnection code resolves all open alerts, including location alerts. This is a known correctness issue described in Section 15.</w:t>
      </w:r>
    </w:p>
    <w:p>
      <w:pPr>
        <w:pStyle w:val="Heading2"/>
      </w:pPr>
      <w:r>
        <w:t>Submit an authorized location transfer</w:t>
      </w:r>
    </w:p>
    <w:p>
      <w:r>
        <w:rPr>
          <w:b w:val="0"/>
        </w:rPr>
        <w:t>The admin selects an asset and a destination in the simulator. The backend splits allowedLocations on commas or semicolons and compares trimmed names without case sensitivity. A permitted move updates currentLocation, records a relocation log and appends LOCATION_SHIFT. Matching movement breach alerts are resolved when the asset returns to a permitted zone.</w:t>
      </w:r>
    </w:p>
    <w:p>
      <w:pPr>
        <w:pStyle w:val="Heading2"/>
      </w:pPr>
      <w:r>
        <w:t>Submit an unauthorized location transfer</w:t>
      </w:r>
    </w:p>
    <w:p>
      <w:r>
        <w:rPr>
          <w:b w:val="0"/>
        </w:rPr>
        <w:t>A destination outside the list still becomes the recorded current location. The system creates a security breach alert and a SECURITY_BREACH_ALERT block with authorized set to false. It reports the result to the simulator. The operation records an unauthorized event; it does not physically stop equipment from moving or reject the location update.</w:t>
      </w:r>
    </w:p>
    <w:p>
      <w:pPr>
        <w:pStyle w:val="Heading2"/>
      </w:pPr>
      <w:r>
        <w:t>Example demonstration</w:t>
      </w:r>
    </w:p>
    <w:p>
      <w:r>
        <w:rPr>
          <w:b w:val="0"/>
        </w:rPr>
        <w:t>Register a demonstration phone with HQ Main Facility and Dispatch Office as allowed zones. In demo mode, connect and disconnect it to show the connection alert. Reconnect it, then move it to Dispatch Office to show an authorized transfer. Move it to External Off-Site to show a breach. Review the tracking history and ledger, run the cryptographic audit, and return it to a permitted zone. Use test records rather than real operational assets for this walkthrough.</w:t>
      </w:r>
    </w:p>
    <w:p>
      <w:r>
        <w:br w:type="page"/>
      </w:r>
    </w:p>
    <w:p>
      <w:pPr>
        <w:pStyle w:val="Heading1"/>
      </w:pPr>
      <w:r>
        <w:t>6 Database design and asset records</w:t>
      </w:r>
    </w:p>
    <w:p>
      <w:r>
        <w:rPr>
          <w:b w:val="0"/>
        </w:rPr>
        <w:t>JPA entities define five tables. Hibernate updates the schema on startup through spring.jpa.hibernate.ddl-auto=update. H2 is the default file database; the MySQL profile uses the same entity model. No versioned database migration scripts are provided.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176"/>
        <w:gridCol w:w="3571"/>
      </w:tblGrid>
      <w:tr>
        <w:trPr>
          <w:tblHeader/>
          <w:cantSplit/>
        </w:trPr>
        <w:tc>
          <w:tcPr>
            <w:tcW w:type="dxa" w:w="2088"/>
            <w:vAlign w:val="center"/>
            <w:shd w:fill="243747"/>
            <w:tcMar>
              <w:top w:w="90" w:type="dxa"/>
              <w:left w:w="90" w:type="dxa"/>
              <w:bottom w:w="90" w:type="dxa"/>
              <w:right w:w="90" w:type="dxa"/>
            </w:tcMar>
          </w:tcPr>
          <w:p>
            <w:pPr>
              <w:spacing w:after="40" w:line="247" w:lineRule="auto"/>
              <w:jc w:val="left"/>
            </w:pPr>
            <w:r>
              <w:rPr>
                <w:b/>
                <w:color w:val="FFFFFF"/>
                <w:sz w:val="18"/>
              </w:rPr>
              <w:t>Table</w:t>
            </w:r>
          </w:p>
        </w:tc>
        <w:tc>
          <w:tcPr>
            <w:tcW w:type="dxa" w:w="4176"/>
            <w:vAlign w:val="center"/>
            <w:shd w:fill="243747"/>
            <w:tcMar>
              <w:top w:w="90" w:type="dxa"/>
              <w:left w:w="90" w:type="dxa"/>
              <w:bottom w:w="90" w:type="dxa"/>
              <w:right w:w="90" w:type="dxa"/>
            </w:tcMar>
          </w:tcPr>
          <w:p>
            <w:pPr>
              <w:spacing w:after="40" w:line="247" w:lineRule="auto"/>
            </w:pPr>
            <w:r>
              <w:rPr>
                <w:b/>
                <w:color w:val="FFFFFF"/>
                <w:sz w:val="18"/>
              </w:rPr>
              <w:t>Purpose</w:t>
            </w:r>
          </w:p>
        </w:tc>
        <w:tc>
          <w:tcPr>
            <w:tcW w:type="dxa" w:w="3571"/>
            <w:vAlign w:val="center"/>
            <w:shd w:fill="243747"/>
            <w:tcMar>
              <w:top w:w="90" w:type="dxa"/>
              <w:left w:w="90" w:type="dxa"/>
              <w:bottom w:w="90" w:type="dxa"/>
              <w:right w:w="90" w:type="dxa"/>
            </w:tcMar>
          </w:tcPr>
          <w:p>
            <w:pPr>
              <w:spacing w:after="40" w:line="247" w:lineRule="auto"/>
            </w:pPr>
            <w:r>
              <w:rPr>
                <w:b/>
                <w:color w:val="FFFFFF"/>
                <w:sz w:val="18"/>
              </w:rPr>
              <w:t>Logical association</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users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Login credentials and role</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Independent user accounts</w:t>
            </w:r>
          </w:p>
        </w:tc>
      </w:tr>
      <w:tr>
        <w:trPr>
          <w:cantSplit/>
        </w:trPr>
        <w:tc>
          <w:tcPr>
            <w:tcW w:type="dxa" w:w="2088"/>
            <w:vAlign w:val="center"/>
            <w:shd w:fill="FFFFFF"/>
            <w:tcMar>
              <w:top w:w="90" w:type="dxa"/>
              <w:left w:w="90" w:type="dxa"/>
              <w:bottom w:w="90" w:type="dxa"/>
              <w:right w:w="90" w:type="dxa"/>
            </w:tcMar>
          </w:tcPr>
          <w:p>
            <w:pPr>
              <w:spacing w:after="40" w:line="247" w:lineRule="auto"/>
              <w:jc w:val="left"/>
            </w:pPr>
            <w:r>
              <w:rPr>
                <w:b w:val="0"/>
                <w:color w:val="111111"/>
                <w:sz w:val="18"/>
              </w:rPr>
              <w:t>assets</w:t>
            </w:r>
          </w:p>
        </w:tc>
        <w:tc>
          <w:tcPr>
            <w:tcW w:type="dxa" w:w="4176"/>
            <w:vAlign w:val="center"/>
            <w:shd w:fill="FFFFFF"/>
            <w:tcMar>
              <w:top w:w="90" w:type="dxa"/>
              <w:left w:w="90" w:type="dxa"/>
              <w:bottom w:w="90" w:type="dxa"/>
              <w:right w:w="90" w:type="dxa"/>
            </w:tcMar>
          </w:tcPr>
          <w:p>
            <w:pPr>
              <w:spacing w:after="40" w:line="247" w:lineRule="auto"/>
            </w:pPr>
            <w:r>
              <w:rPr>
                <w:b w:val="0"/>
                <w:color w:val="111111"/>
                <w:sz w:val="18"/>
              </w:rPr>
              <w:t>Device identity assignment location and status</w:t>
            </w:r>
          </w:p>
        </w:tc>
        <w:tc>
          <w:tcPr>
            <w:tcW w:type="dxa" w:w="3571"/>
            <w:vAlign w:val="center"/>
            <w:shd w:fill="FFFFFF"/>
            <w:tcMar>
              <w:top w:w="90" w:type="dxa"/>
              <w:left w:w="90" w:type="dxa"/>
              <w:bottom w:w="90" w:type="dxa"/>
              <w:right w:w="90" w:type="dxa"/>
            </w:tcMar>
          </w:tcPr>
          <w:p>
            <w:pPr>
              <w:spacing w:after="40" w:line="247" w:lineRule="auto"/>
            </w:pPr>
            <w:r>
              <w:rPr>
                <w:b w:val="0"/>
                <w:color w:val="111111"/>
                <w:sz w:val="18"/>
              </w:rPr>
              <w:t>Referenced by logs alerts and ledger through assetId</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tracking_logs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Connection and movement observations</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Asset identifier and name snapshot</w:t>
            </w:r>
          </w:p>
        </w:tc>
      </w:tr>
      <w:tr>
        <w:trPr>
          <w:cantSplit/>
        </w:trPr>
        <w:tc>
          <w:tcPr>
            <w:tcW w:type="dxa" w:w="2088"/>
            <w:vAlign w:val="center"/>
            <w:shd w:fill="FFFFFF"/>
            <w:tcMar>
              <w:top w:w="90" w:type="dxa"/>
              <w:left w:w="90" w:type="dxa"/>
              <w:bottom w:w="90" w:type="dxa"/>
              <w:right w:w="90" w:type="dxa"/>
            </w:tcMar>
          </w:tcPr>
          <w:p>
            <w:pPr>
              <w:spacing w:after="40" w:line="247" w:lineRule="auto"/>
              <w:jc w:val="left"/>
            </w:pPr>
            <w:r>
              <w:rPr>
                <w:b w:val="0"/>
                <w:color w:val="111111"/>
                <w:sz w:val="18"/>
              </w:rPr>
              <w:t>alerts</w:t>
            </w:r>
          </w:p>
        </w:tc>
        <w:tc>
          <w:tcPr>
            <w:tcW w:type="dxa" w:w="4176"/>
            <w:vAlign w:val="center"/>
            <w:shd w:fill="FFFFFF"/>
            <w:tcMar>
              <w:top w:w="90" w:type="dxa"/>
              <w:left w:w="90" w:type="dxa"/>
              <w:bottom w:w="90" w:type="dxa"/>
              <w:right w:w="90" w:type="dxa"/>
            </w:tcMar>
          </w:tcPr>
          <w:p>
            <w:pPr>
              <w:spacing w:after="40" w:line="247" w:lineRule="auto"/>
            </w:pPr>
            <w:r>
              <w:rPr>
                <w:b w:val="0"/>
                <w:color w:val="111111"/>
                <w:sz w:val="18"/>
              </w:rPr>
              <w:t>Connection and movement warnings</w:t>
            </w:r>
          </w:p>
        </w:tc>
        <w:tc>
          <w:tcPr>
            <w:tcW w:type="dxa" w:w="3571"/>
            <w:vAlign w:val="center"/>
            <w:shd w:fill="FFFFFF"/>
            <w:tcMar>
              <w:top w:w="90" w:type="dxa"/>
              <w:left w:w="90" w:type="dxa"/>
              <w:bottom w:w="90" w:type="dxa"/>
              <w:right w:w="90" w:type="dxa"/>
            </w:tcMar>
          </w:tcPr>
          <w:p>
            <w:pPr>
              <w:spacing w:after="40" w:line="247" w:lineRule="auto"/>
            </w:pPr>
            <w:r>
              <w:rPr>
                <w:b w:val="0"/>
                <w:color w:val="111111"/>
                <w:sz w:val="18"/>
              </w:rPr>
              <w:t>Asset identifier and name snapshot</w:t>
            </w:r>
          </w:p>
        </w:tc>
      </w:tr>
      <w:tr>
        <w:trPr>
          <w:cantSplit/>
        </w:trPr>
        <w:tc>
          <w:tcPr>
            <w:tcW w:type="dxa" w:w="2088"/>
            <w:vAlign w:val="center"/>
            <w:shd w:fill="F1F4F6"/>
            <w:tcMar>
              <w:top w:w="90" w:type="dxa"/>
              <w:left w:w="90" w:type="dxa"/>
              <w:bottom w:w="90" w:type="dxa"/>
              <w:right w:w="90" w:type="dxa"/>
            </w:tcMar>
          </w:tcPr>
          <w:p>
            <w:pPr>
              <w:spacing w:after="40" w:line="247" w:lineRule="auto"/>
              <w:jc w:val="left"/>
            </w:pPr>
            <w:r>
              <w:rPr>
                <w:b w:val="0"/>
                <w:color w:val="111111"/>
                <w:sz w:val="18"/>
              </w:rPr>
              <w:t>blockchain_blocks</w:t>
            </w:r>
          </w:p>
        </w:tc>
        <w:tc>
          <w:tcPr>
            <w:tcW w:type="dxa" w:w="4176"/>
            <w:vAlign w:val="center"/>
            <w:shd w:fill="F1F4F6"/>
            <w:tcMar>
              <w:top w:w="90" w:type="dxa"/>
              <w:left w:w="90" w:type="dxa"/>
              <w:bottom w:w="90" w:type="dxa"/>
              <w:right w:w="90" w:type="dxa"/>
            </w:tcMar>
          </w:tcPr>
          <w:p>
            <w:pPr>
              <w:spacing w:after="40" w:line="247" w:lineRule="auto"/>
            </w:pPr>
            <w:r>
              <w:rPr>
                <w:b w:val="0"/>
                <w:color w:val="111111"/>
                <w:sz w:val="18"/>
              </w:rPr>
              <w:t>Linked cryptographic event records</w:t>
            </w:r>
          </w:p>
        </w:tc>
        <w:tc>
          <w:tcPr>
            <w:tcW w:type="dxa" w:w="3571"/>
            <w:vAlign w:val="center"/>
            <w:shd w:fill="F1F4F6"/>
            <w:tcMar>
              <w:top w:w="90" w:type="dxa"/>
              <w:left w:w="90" w:type="dxa"/>
              <w:bottom w:w="90" w:type="dxa"/>
              <w:right w:w="90" w:type="dxa"/>
            </w:tcMar>
          </w:tcPr>
          <w:p>
            <w:pPr>
              <w:spacing w:after="40" w:line="247" w:lineRule="auto"/>
            </w:pPr>
            <w:r>
              <w:rPr>
                <w:b w:val="0"/>
                <w:color w:val="111111"/>
                <w:sz w:val="18"/>
              </w:rPr>
              <w:t>Optional asset identifier and name snapshot</w:t>
            </w:r>
          </w:p>
        </w:tc>
      </w:tr>
    </w:tbl>
    <w:p>
      <w:pPr>
        <w:spacing w:after="20"/>
      </w:pPr>
      <w:r>
        <w:rPr>
          <w:b w:val="0"/>
        </w:rPr>
      </w:r>
    </w:p>
    <w:p>
      <w:pPr>
        <w:pStyle w:val="Heading2"/>
      </w:pPr>
      <w: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75"/>
      </w:tblGrid>
      <w:tr>
        <w:trPr>
          <w:tblHeader/>
          <w:cantSplit/>
        </w:trPr>
        <w:tc>
          <w:tcPr>
            <w:tcW w:type="dxa" w:w="2160"/>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675"/>
            <w:vAlign w:val="center"/>
            <w:shd w:fill="243747"/>
            <w:tcMar>
              <w:top w:w="90" w:type="dxa"/>
              <w:left w:w="90" w:type="dxa"/>
              <w:bottom w:w="90" w:type="dxa"/>
              <w:right w:w="90" w:type="dxa"/>
            </w:tcMar>
          </w:tcPr>
          <w:p>
            <w:pPr>
              <w:spacing w:after="40" w:line="247" w:lineRule="auto"/>
            </w:pPr>
            <w:r>
              <w:rPr>
                <w:b/>
                <w:color w:val="FFFFFF"/>
                <w:sz w:val="18"/>
              </w:rPr>
              <w:t>Type and rule</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Generated Long primary key</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username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Unique non null String</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password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BCrypt encoded password String</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role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ADMIN or OFFICER used by the security configuration</w:t>
            </w:r>
          </w:p>
        </w:tc>
      </w:tr>
    </w:tbl>
    <w:p>
      <w:pPr>
        <w:spacing w:after="20"/>
      </w:pPr>
      <w:r>
        <w:rPr>
          <w:b w:val="0"/>
        </w:rPr>
      </w:r>
    </w:p>
    <w:p>
      <w:pPr>
        <w:pStyle w:val="Heading2"/>
      </w:pPr>
      <w:r>
        <w:t>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75"/>
      </w:tblGrid>
      <w:tr>
        <w:trPr>
          <w:tblHeader/>
          <w:cantSplit/>
        </w:trPr>
        <w:tc>
          <w:tcPr>
            <w:tcW w:type="dxa" w:w="2160"/>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675"/>
            <w:vAlign w:val="center"/>
            <w:shd w:fill="243747"/>
            <w:tcMar>
              <w:top w:w="90" w:type="dxa"/>
              <w:left w:w="90" w:type="dxa"/>
              <w:bottom w:w="90" w:type="dxa"/>
              <w:right w:w="90" w:type="dxa"/>
            </w:tcMar>
          </w:tcPr>
          <w:p>
            <w:pPr>
              <w:spacing w:after="40" w:line="247" w:lineRule="auto"/>
            </w:pPr>
            <w:r>
              <w:rPr>
                <w:b/>
                <w:color w:val="FFFFFF"/>
                <w:sz w:val="18"/>
              </w:rPr>
              <w:t>Type and validation</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Generated Long primary key</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name</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type</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String up to 50 characters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serialNo</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unique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bluetoothMac</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unique colon separated six byte hex address; uppercase on save</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department</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Required String up to 100 characters</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assignedTo</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Required free text officer name up to 100 characters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currentLocation</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up to 150 characters; default HQ Main Facility</w:t>
            </w:r>
          </w:p>
        </w:tc>
      </w:tr>
      <w:tr>
        <w:trPr>
          <w:cantSplit/>
        </w:trPr>
        <w:tc>
          <w:tcPr>
            <w:tcW w:type="dxa" w:w="2160"/>
            <w:vAlign w:val="center"/>
            <w:shd w:fill="F1F4F6"/>
            <w:tcMar>
              <w:top w:w="90" w:type="dxa"/>
              <w:left w:w="90" w:type="dxa"/>
              <w:bottom w:w="90" w:type="dxa"/>
              <w:right w:w="90" w:type="dxa"/>
            </w:tcMar>
          </w:tcPr>
          <w:p>
            <w:pPr>
              <w:spacing w:after="40" w:line="247" w:lineRule="auto"/>
            </w:pPr>
            <w:r>
              <w:rPr>
                <w:b w:val="0"/>
                <w:color w:val="111111"/>
                <w:sz w:val="18"/>
              </w:rPr>
              <w:t>allowedLocations</w:t>
            </w:r>
          </w:p>
        </w:tc>
        <w:tc>
          <w:tcPr>
            <w:tcW w:type="dxa" w:w="7675"/>
            <w:vAlign w:val="center"/>
            <w:shd w:fill="F1F4F6"/>
            <w:tcMar>
              <w:top w:w="90" w:type="dxa"/>
              <w:left w:w="90" w:type="dxa"/>
              <w:bottom w:w="90" w:type="dxa"/>
              <w:right w:w="90" w:type="dxa"/>
            </w:tcMar>
          </w:tcPr>
          <w:p>
            <w:pPr>
              <w:spacing w:after="40" w:line="247" w:lineRule="auto"/>
            </w:pPr>
            <w:r>
              <w:rPr>
                <w:b w:val="0"/>
                <w:color w:val="111111"/>
                <w:sz w:val="18"/>
              </w:rPr>
              <w:t>String up to 500 characters; comma or semicolon separated names</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11111"/>
                <w:sz w:val="18"/>
              </w:rPr>
              <w:t>status</w:t>
            </w:r>
          </w:p>
        </w:tc>
        <w:tc>
          <w:tcPr>
            <w:tcW w:type="dxa" w:w="7675"/>
            <w:vAlign w:val="center"/>
            <w:shd w:fill="FFFFFF"/>
            <w:tcMar>
              <w:top w:w="90" w:type="dxa"/>
              <w:left w:w="90" w:type="dxa"/>
              <w:bottom w:w="90" w:type="dxa"/>
              <w:right w:w="90" w:type="dxa"/>
            </w:tcMar>
          </w:tcPr>
          <w:p>
            <w:pPr>
              <w:spacing w:after="40" w:line="247" w:lineRule="auto"/>
            </w:pPr>
            <w:r>
              <w:rPr>
                <w:b w:val="0"/>
                <w:color w:val="111111"/>
                <w:sz w:val="18"/>
              </w:rPr>
              <w:t>String enum UNKNOWN CONNECTED or DISCONNECTED</w:t>
            </w:r>
          </w:p>
        </w:tc>
      </w:tr>
    </w:tbl>
    <w:p>
      <w:pPr>
        <w:spacing w:after="20"/>
      </w:pPr>
      <w:r>
        <w:rPr>
          <w:b w:val="0"/>
        </w:rPr>
      </w:r>
    </w:p>
    <w:p>
      <w:r>
        <w:rPr>
          <w:b w:val="0"/>
        </w:rPr>
        <w:t>Allowed zones are stored as one text field rather than a normalized zones table. Facility zone choices come from a hard coded API list. The frontend default includes Server Room B-4, while the backend fallback includes Server Room; these are different exact zone names and can produce different authorization results.</w:t>
      </w:r>
    </w:p>
    <w:p>
      <w:r>
        <w:br w:type="page"/>
      </w:r>
    </w:p>
    <w:p>
      <w:pPr>
        <w:pStyle w:val="Heading1"/>
      </w:pPr>
      <w:r>
        <w:t>7 Event alert and ledger records</w:t>
      </w:r>
    </w:p>
    <w:p>
      <w:pPr>
        <w:pStyle w:val="Heading2"/>
      </w:pPr>
      <w:r>
        <w:t>Tracking 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Meaning</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Long identifier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assetId and assetName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Asset snapshot identifying the observed device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status</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UNKNOWN CONNECTED or DISCONNECTED at the time of logging</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timestamp</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Java Instant for the event time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source</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Probe source or relocation details including old and new named zones</w:t>
            </w:r>
          </w:p>
        </w:tc>
      </w:tr>
    </w:tbl>
    <w:p>
      <w:pPr>
        <w:spacing w:after="20"/>
      </w:pPr>
      <w:r>
        <w:rPr>
          <w:b w:val="0"/>
        </w:rPr>
      </w:r>
    </w:p>
    <w:p>
      <w:r>
        <w:rPr>
          <w:b w:val="0"/>
        </w:rPr>
        <w:t>Connection changes create logs only when the status changes. Location shifts also create logs, even when the connection state stays the same. The reports endpoint returns the most recent 100 entries, ordered by timestamp descending.</w:t>
      </w:r>
    </w:p>
    <w:p>
      <w:pPr>
        <w:pStyle w:val="Heading2"/>
      </w:pPr>
      <w:r>
        <w:t>Alerts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Meaning</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Long identifier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assetId and assetName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Asset snapshot</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message</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Human readable warning describing connectivity loss or unauthorized movement</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createdAt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Java Instant when the alert was created</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resolved</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Boolean indicating whether the warning is closed</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resolvedAt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Instant set when an alert is resolved</w:t>
            </w:r>
          </w:p>
        </w:tc>
      </w:tr>
    </w:tbl>
    <w:p>
      <w:pPr>
        <w:spacing w:after="20"/>
      </w:pPr>
      <w:r>
        <w:rPr>
          <w:b w:val="0"/>
        </w:rPr>
      </w:r>
    </w:p>
    <w:p>
      <w:r>
        <w:rPr>
          <w:b w:val="0"/>
        </w:rPr>
        <w:t>There is currently no separate alert category, severity, acknowledgement, resolution reason or resolver field. Movement alert resolution relies on text matching within message. The summary contains the latest 100 alerts and a count of all unresolved alerts.</w:t>
      </w:r>
    </w:p>
    <w:p>
      <w:pPr>
        <w:pStyle w:val="Heading2"/>
      </w:pPr>
      <w:r>
        <w:t>Blockchain blocks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43747"/>
            <w:tcMar>
              <w:top w:w="90" w:type="dxa"/>
              <w:left w:w="90" w:type="dxa"/>
              <w:bottom w:w="90" w:type="dxa"/>
              <w:right w:w="90" w:type="dxa"/>
            </w:tcMar>
          </w:tcPr>
          <w:p>
            <w:pPr>
              <w:spacing w:after="40" w:line="247" w:lineRule="auto"/>
            </w:pPr>
            <w:r>
              <w:rPr>
                <w:b/>
                <w:color w:val="FFFFFF"/>
                <w:sz w:val="18"/>
              </w:rPr>
              <w:t>Field group</w:t>
            </w:r>
          </w:p>
        </w:tc>
        <w:tc>
          <w:tcPr>
            <w:tcW w:type="dxa" w:w="7243"/>
            <w:vAlign w:val="center"/>
            <w:shd w:fill="243747"/>
            <w:tcMar>
              <w:top w:w="90" w:type="dxa"/>
              <w:left w:w="90" w:type="dxa"/>
              <w:bottom w:w="90" w:type="dxa"/>
              <w:right w:w="90" w:type="dxa"/>
            </w:tcMar>
          </w:tcPr>
          <w:p>
            <w:pPr>
              <w:spacing w:after="40" w:line="247" w:lineRule="auto"/>
            </w:pPr>
            <w:r>
              <w:rPr>
                <w:b/>
                <w:color w:val="FFFFFF"/>
                <w:sz w:val="18"/>
              </w:rPr>
              <w:t>Stored values</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Identity and ordering</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Generated id and Long blockIndex</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Cryptographic linkage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64 character previousHash and hash</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Time and work</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timestamp and nonce</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Event and asset</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action up to 50 characters assetId and assetName</w:t>
            </w:r>
          </w:p>
        </w:tc>
      </w:tr>
      <w:tr>
        <w:trPr>
          <w:cantSplit/>
        </w:trPr>
        <w:tc>
          <w:tcPr>
            <w:tcW w:type="dxa" w:w="2592"/>
            <w:vAlign w:val="center"/>
            <w:shd w:fill="F1F4F6"/>
            <w:tcMar>
              <w:top w:w="90" w:type="dxa"/>
              <w:left w:w="90" w:type="dxa"/>
              <w:bottom w:w="90" w:type="dxa"/>
              <w:right w:w="90" w:type="dxa"/>
            </w:tcMar>
          </w:tcPr>
          <w:p>
            <w:pPr>
              <w:spacing w:after="40" w:line="247" w:lineRule="auto"/>
            </w:pPr>
            <w:r>
              <w:rPr>
                <w:b w:val="0"/>
                <w:color w:val="111111"/>
                <w:sz w:val="18"/>
              </w:rPr>
              <w:t>Movement and actor</w:t>
            </w:r>
          </w:p>
        </w:tc>
        <w:tc>
          <w:tcPr>
            <w:tcW w:type="dxa" w:w="7243"/>
            <w:vAlign w:val="center"/>
            <w:shd w:fill="F1F4F6"/>
            <w:tcMar>
              <w:top w:w="90" w:type="dxa"/>
              <w:left w:w="90" w:type="dxa"/>
              <w:bottom w:w="90" w:type="dxa"/>
              <w:right w:w="90" w:type="dxa"/>
            </w:tcMar>
          </w:tcPr>
          <w:p>
            <w:pPr>
              <w:spacing w:after="40" w:line="247" w:lineRule="auto"/>
            </w:pPr>
            <w:r>
              <w:rPr>
                <w:b w:val="0"/>
                <w:color w:val="111111"/>
                <w:sz w:val="18"/>
              </w:rPr>
              <w:t>fromLocation toLocation and operator</w:t>
            </w:r>
          </w:p>
        </w:tc>
      </w:tr>
      <w:tr>
        <w:trPr>
          <w:cantSplit/>
        </w:trPr>
        <w:tc>
          <w:tcPr>
            <w:tcW w:type="dxa" w:w="2592"/>
            <w:vAlign w:val="center"/>
            <w:shd w:fill="FFFFFF"/>
            <w:tcMar>
              <w:top w:w="90" w:type="dxa"/>
              <w:left w:w="90" w:type="dxa"/>
              <w:bottom w:w="90" w:type="dxa"/>
              <w:right w:w="90" w:type="dxa"/>
            </w:tcMar>
          </w:tcPr>
          <w:p>
            <w:pPr>
              <w:spacing w:after="40" w:line="247" w:lineRule="auto"/>
            </w:pPr>
            <w:r>
              <w:rPr>
                <w:b w:val="0"/>
                <w:color w:val="111111"/>
                <w:sz w:val="18"/>
              </w:rPr>
              <w:t>Payload and outcome</w:t>
            </w:r>
          </w:p>
        </w:tc>
        <w:tc>
          <w:tcPr>
            <w:tcW w:type="dxa" w:w="7243"/>
            <w:vAlign w:val="center"/>
            <w:shd w:fill="FFFFFF"/>
            <w:tcMar>
              <w:top w:w="90" w:type="dxa"/>
              <w:left w:w="90" w:type="dxa"/>
              <w:bottom w:w="90" w:type="dxa"/>
              <w:right w:w="90" w:type="dxa"/>
            </w:tcMar>
          </w:tcPr>
          <w:p>
            <w:pPr>
              <w:spacing w:after="40" w:line="247" w:lineRule="auto"/>
            </w:pPr>
            <w:r>
              <w:rPr>
                <w:b w:val="0"/>
                <w:color w:val="111111"/>
                <w:sz w:val="18"/>
              </w:rPr>
              <w:t>details up to 500 characters and boolean authorized</w:t>
            </w:r>
          </w:p>
        </w:tc>
      </w:tr>
    </w:tbl>
    <w:p>
      <w:pPr>
        <w:spacing w:after="20"/>
      </w:pPr>
      <w:r>
        <w:rPr>
          <w:b w:val="0"/>
        </w:rPr>
      </w:r>
    </w:p>
    <w:p>
      <w:r>
        <w:rPr>
          <w:b w:val="0"/>
        </w:rPr>
        <w:t>The ledger repository supports newest first and oldest first ordering and asset based lookup. The current API returns the entire ledger rather than a paginated subset. blockIndex is non null but is not declared unique at the entity level. Asset names are stored in blocks but are not included in the current hash calculation.</w:t>
      </w:r>
    </w:p>
    <w:p>
      <w:r>
        <w:br w:type="page"/>
      </w:r>
    </w:p>
    <w:p>
      <w:pPr>
        <w:pStyle w:val="Heading1"/>
      </w:pPr>
      <w:r>
        <w:t>8 Session and read API reference</w:t>
      </w:r>
    </w:p>
    <w:p>
      <w:r>
        <w:rPr>
          <w:b w:val="0"/>
        </w:rPr>
        <w:t>The browser uses same origin HTTP requests. Except for the session endpoint and authentication flow, API reads require an authenticated account. Static React page routes are public shells; protected data is retrieved separately from the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39"/>
      </w:tblGrid>
      <w:tr>
        <w:trPr>
          <w:tblHeader/>
          <w:cantSplit/>
        </w:trPr>
        <w:tc>
          <w:tcPr>
            <w:tcW w:type="dxa" w:w="3096"/>
            <w:vAlign w:val="center"/>
            <w:shd w:fill="243747"/>
            <w:tcMar>
              <w:top w:w="90" w:type="dxa"/>
              <w:left w:w="90" w:type="dxa"/>
              <w:bottom w:w="90" w:type="dxa"/>
              <w:right w:w="90" w:type="dxa"/>
            </w:tcMar>
          </w:tcPr>
          <w:p>
            <w:pPr>
              <w:spacing w:after="40" w:line="247" w:lineRule="auto"/>
            </w:pPr>
            <w:r>
              <w:rPr>
                <w:b/>
                <w:color w:val="FFFFFF"/>
                <w:sz w:val="18"/>
              </w:rPr>
              <w:t>Method and path</w:t>
            </w:r>
          </w:p>
        </w:tc>
        <w:tc>
          <w:tcPr>
            <w:tcW w:type="dxa" w:w="6739"/>
            <w:vAlign w:val="center"/>
            <w:shd w:fill="243747"/>
            <w:tcMar>
              <w:top w:w="90" w:type="dxa"/>
              <w:left w:w="90" w:type="dxa"/>
              <w:bottom w:w="90" w:type="dxa"/>
              <w:right w:w="90" w:type="dxa"/>
            </w:tcMar>
          </w:tcPr>
          <w:p>
            <w:pPr>
              <w:spacing w:after="40" w:line="247" w:lineRule="auto"/>
            </w:pPr>
            <w:r>
              <w:rPr>
                <w:b/>
                <w:color w:val="FFFFFF"/>
                <w:sz w:val="18"/>
              </w:rPr>
              <w:t>Response and use</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/api/session</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200 JSON with authenticated username admin csrfToken and csrfHeader. Also works before login.</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POST /api/login</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Username and password as form URL encoded fields plus CSRF header. Returns 204 on success or 401 on rejection.</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POST /api/logout</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Invalidates the authenticated session with CSRF protection. Returns 204.</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/api/summary</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Assets latest 100 alerts total openAlerts monitoring mode and totalBlocks.</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/api/logs</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Latest 100 TrackingLog objects newest first.</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/api/assets/{id}</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Asset object or 404 when not found.</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/api/facility-zones</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List of predefined named zones for the simulator.</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color w:val="111111"/>
                <w:sz w:val="18"/>
              </w:rPr>
              <w:t>GET /api/blockchain</w:t>
            </w:r>
          </w:p>
        </w:tc>
        <w:tc>
          <w:tcPr>
            <w:tcW w:type="dxa" w:w="6739"/>
            <w:vAlign w:val="center"/>
            <w:shd w:fill="FFFFFF"/>
            <w:tcMar>
              <w:top w:w="90" w:type="dxa"/>
              <w:left w:w="90" w:type="dxa"/>
              <w:bottom w:w="90" w:type="dxa"/>
              <w:right w:w="90" w:type="dxa"/>
            </w:tcMar>
          </w:tcPr>
          <w:p>
            <w:pPr>
              <w:spacing w:after="40" w:line="247" w:lineRule="auto"/>
            </w:pPr>
            <w:r>
              <w:rPr>
                <w:b w:val="0"/>
                <w:color w:val="111111"/>
                <w:sz w:val="18"/>
              </w:rPr>
              <w:t>All blocks newest first and a chain verification result.</w:t>
            </w:r>
          </w:p>
        </w:tc>
      </w:tr>
      <w:tr>
        <w:trPr>
          <w:cantSplit/>
        </w:trPr>
        <w:tc>
          <w:tcPr>
            <w:tcW w:type="dxa" w:w="3096"/>
            <w:vAlign w:val="center"/>
            <w:shd w:fill="F1F4F6"/>
            <w:tcMar>
              <w:top w:w="90" w:type="dxa"/>
              <w:left w:w="90" w:type="dxa"/>
              <w:bottom w:w="90" w:type="dxa"/>
              <w:right w:w="90" w:type="dxa"/>
            </w:tcMar>
          </w:tcPr>
          <w:p>
            <w:pPr>
              <w:spacing w:after="40" w:line="247" w:lineRule="auto"/>
            </w:pPr>
            <w:r>
              <w:rPr>
                <w:b w:val="0"/>
                <w:color w:val="111111"/>
                <w:sz w:val="18"/>
              </w:rPr>
              <w:t>GET /api/blockchain/verify</w:t>
            </w:r>
          </w:p>
        </w:tc>
        <w:tc>
          <w:tcPr>
            <w:tcW w:type="dxa" w:w="6739"/>
            <w:vAlign w:val="center"/>
            <w:shd w:fill="F1F4F6"/>
            <w:tcMar>
              <w:top w:w="90" w:type="dxa"/>
              <w:left w:w="90" w:type="dxa"/>
              <w:bottom w:w="90" w:type="dxa"/>
              <w:right w:w="90" w:type="dxa"/>
            </w:tcMar>
          </w:tcPr>
          <w:p>
            <w:pPr>
              <w:spacing w:after="40" w:line="247" w:lineRule="auto"/>
            </w:pPr>
            <w:r>
              <w:rPr>
                <w:b w:val="0"/>
                <w:color w:val="111111"/>
                <w:sz w:val="18"/>
              </w:rPr>
              <w:t>valid totalBlocks latestHash and an optional error description.</w:t>
            </w:r>
          </w:p>
        </w:tc>
      </w:tr>
    </w:tbl>
    <w:p>
      <w:pPr>
        <w:spacing w:after="20"/>
      </w:pPr>
      <w:r>
        <w:rPr>
          <w:b w:val="0"/>
        </w:rPr>
      </w:r>
    </w:p>
    <w:p>
      <w:pPr>
        <w:pStyle w:val="Heading2"/>
      </w:pPr>
      <w:r>
        <w:t>Session lifecycle</w:t>
      </w:r>
    </w:p>
    <w:p>
      <w:r>
        <w:rPr>
          <w:b w:val="0"/>
        </w:rPr>
        <w:t>React fetches /api/session when the app starts. It redirects unauthenticated visitors to /login and preserves their intended page path. On success it obtains the new session and CSRF token. Before every mutation, the request helper fetches a fresh token and sends it under the header name returned by the server. This also handles the token change that follows login and logout.</w:t>
      </w:r>
    </w:p>
    <w:p>
      <w:pPr>
        <w:pStyle w:val="Heading2"/>
      </w:pPr>
      <w:r>
        <w:t>Read responses and error handling</w:t>
      </w:r>
    </w:p>
    <w:p>
      <w:r>
        <w:rPr>
          <w:b w:val="0"/>
        </w:rPr>
        <w:t>Unauthorized API access returns 401. The frontend request helper dispatches a session expired event and the protected layout returns to login. A 403 response indicates a denied operation or CSRF failure. JSON validation errors include a message and field error map. Duplicate database values are reported as 409. Server error messages are suppressed by default outside the explicit API error handler.</w:t>
      </w:r>
    </w:p>
    <w:p>
      <w:r>
        <w:rPr>
          <w:b w:val="0"/>
        </w:rPr>
        <w:t>GET /api/blockchain performs verification as well as loading all blocks. With five second polling, this creates repeated work proportional to the size of the ledger. A larger deployment needs pagination, summary endpoints and a deliberate audit schedule.</w:t>
      </w:r>
    </w:p>
    <w:p>
      <w:r>
        <w:br w:type="page"/>
      </w:r>
    </w:p>
    <w:p>
      <w:pPr>
        <w:pStyle w:val="Heading1"/>
      </w:pPr>
      <w:r>
        <w:t>9 Asset mutation API reference</w:t>
      </w:r>
    </w:p>
    <w:p>
      <w:r>
        <w:rPr>
          <w:b w:val="0"/>
        </w:rPr>
        <w:t>The endpoints below require the ADMIN role. Every request requires a session and a valid CSRF header. Asset bodies use an explicit input record, so callers cannot assign observed status or choose a creation identifier.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592"/>
        <w:gridCol w:w="3427"/>
      </w:tblGrid>
      <w:tr>
        <w:trPr>
          <w:tblHeader/>
          <w:cantSplit/>
        </w:trPr>
        <w:tc>
          <w:tcPr>
            <w:tcW w:type="dxa" w:w="3816"/>
            <w:vAlign w:val="center"/>
            <w:shd w:fill="243747"/>
            <w:tcMar>
              <w:top w:w="90" w:type="dxa"/>
              <w:left w:w="90" w:type="dxa"/>
              <w:bottom w:w="90" w:type="dxa"/>
              <w:right w:w="90" w:type="dxa"/>
            </w:tcMar>
          </w:tcPr>
          <w:p>
            <w:pPr>
              <w:spacing w:after="40" w:line="247" w:lineRule="auto"/>
              <w:jc w:val="left"/>
            </w:pPr>
            <w:r>
              <w:rPr>
                <w:b/>
                <w:color w:val="FFFFFF"/>
                <w:sz w:val="18"/>
              </w:rPr>
              <w:t>Method and path</w:t>
            </w:r>
          </w:p>
        </w:tc>
        <w:tc>
          <w:tcPr>
            <w:tcW w:type="dxa" w:w="2592"/>
            <w:vAlign w:val="center"/>
            <w:shd w:fill="243747"/>
            <w:tcMar>
              <w:top w:w="90" w:type="dxa"/>
              <w:left w:w="90" w:type="dxa"/>
              <w:bottom w:w="90" w:type="dxa"/>
              <w:right w:w="90" w:type="dxa"/>
            </w:tcMar>
          </w:tcPr>
          <w:p>
            <w:pPr>
              <w:spacing w:after="40" w:line="247" w:lineRule="auto"/>
            </w:pPr>
            <w:r>
              <w:rPr>
                <w:b/>
                <w:color w:val="FFFFFF"/>
                <w:sz w:val="18"/>
              </w:rPr>
              <w:t>Body</w:t>
            </w:r>
          </w:p>
        </w:tc>
        <w:tc>
          <w:tcPr>
            <w:tcW w:type="dxa" w:w="3427"/>
            <w:vAlign w:val="center"/>
            <w:shd w:fill="243747"/>
            <w:tcMar>
              <w:top w:w="90" w:type="dxa"/>
              <w:left w:w="90" w:type="dxa"/>
              <w:bottom w:w="90" w:type="dxa"/>
              <w:right w:w="90" w:type="dxa"/>
            </w:tcMar>
          </w:tcPr>
          <w:p>
            <w:pPr>
              <w:spacing w:after="40" w:line="247" w:lineRule="auto"/>
            </w:pPr>
            <w:r>
              <w:rPr>
                <w:b/>
                <w:color w:val="FFFFFF"/>
                <w:sz w:val="18"/>
              </w:rPr>
              <w:t>Successful result</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POST /api/assets</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Asset fields as JSON</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201 Created; empty body</w:t>
            </w:r>
          </w:p>
        </w:tc>
      </w:tr>
      <w:tr>
        <w:trPr>
          <w:cantSplit/>
        </w:trPr>
        <w:tc>
          <w:tcPr>
            <w:tcW w:type="dxa" w:w="3816"/>
            <w:vAlign w:val="center"/>
            <w:shd w:fill="FFFFFF"/>
            <w:tcMar>
              <w:top w:w="90" w:type="dxa"/>
              <w:left w:w="90" w:type="dxa"/>
              <w:bottom w:w="90" w:type="dxa"/>
              <w:right w:w="90" w:type="dxa"/>
            </w:tcMar>
          </w:tcPr>
          <w:p>
            <w:pPr>
              <w:spacing w:after="40" w:line="247" w:lineRule="auto"/>
              <w:jc w:val="left"/>
            </w:pPr>
            <w:r>
              <w:rPr>
                <w:b w:val="0"/>
                <w:color w:val="111111"/>
                <w:sz w:val="18"/>
              </w:rPr>
              <w:t>PUT /api/assets/{id}</w:t>
            </w:r>
          </w:p>
        </w:tc>
        <w:tc>
          <w:tcPr>
            <w:tcW w:type="dxa" w:w="2592"/>
            <w:vAlign w:val="center"/>
            <w:shd w:fill="FFFFFF"/>
            <w:tcMar>
              <w:top w:w="90" w:type="dxa"/>
              <w:left w:w="90" w:type="dxa"/>
              <w:bottom w:w="90" w:type="dxa"/>
              <w:right w:w="90" w:type="dxa"/>
            </w:tcMar>
          </w:tcPr>
          <w:p>
            <w:pPr>
              <w:spacing w:after="40" w:line="247" w:lineRule="auto"/>
            </w:pPr>
            <w:r>
              <w:rPr>
                <w:b w:val="0"/>
                <w:color w:val="111111"/>
                <w:sz w:val="18"/>
              </w:rPr>
              <w:t>Asset fields as JSON</w:t>
            </w:r>
          </w:p>
        </w:tc>
        <w:tc>
          <w:tcPr>
            <w:tcW w:type="dxa" w:w="3427"/>
            <w:vAlign w:val="center"/>
            <w:shd w:fill="FFFFFF"/>
            <w:tcMar>
              <w:top w:w="90" w:type="dxa"/>
              <w:left w:w="90" w:type="dxa"/>
              <w:bottom w:w="90" w:type="dxa"/>
              <w:right w:w="90" w:type="dxa"/>
            </w:tcMar>
          </w:tcPr>
          <w:p>
            <w:pPr>
              <w:spacing w:after="40" w:line="247" w:lineRule="auto"/>
            </w:pPr>
            <w:r>
              <w:rPr>
                <w:b w:val="0"/>
                <w:color w:val="111111"/>
                <w:sz w:val="18"/>
              </w:rPr>
              <w:t>204 No Content</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DELETE /api/assets/{id}</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No body</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204 No Content; history retained</w:t>
            </w:r>
          </w:p>
        </w:tc>
      </w:tr>
      <w:tr>
        <w:trPr>
          <w:cantSplit/>
        </w:trPr>
        <w:tc>
          <w:tcPr>
            <w:tcW w:type="dxa" w:w="3816"/>
            <w:vAlign w:val="center"/>
            <w:shd w:fill="FFFFFF"/>
            <w:tcMar>
              <w:top w:w="90" w:type="dxa"/>
              <w:left w:w="90" w:type="dxa"/>
              <w:bottom w:w="90" w:type="dxa"/>
              <w:right w:w="90" w:type="dxa"/>
            </w:tcMar>
          </w:tcPr>
          <w:p>
            <w:pPr>
              <w:spacing w:after="40" w:line="247" w:lineRule="auto"/>
              <w:jc w:val="left"/>
            </w:pPr>
            <w:r>
              <w:rPr>
                <w:b w:val="0"/>
                <w:color w:val="111111"/>
                <w:sz w:val="18"/>
              </w:rPr>
              <w:t>POST /api/assets/{id}/simulate/{status}</w:t>
            </w:r>
          </w:p>
        </w:tc>
        <w:tc>
          <w:tcPr>
            <w:tcW w:type="dxa" w:w="2592"/>
            <w:vAlign w:val="center"/>
            <w:shd w:fill="FFFFFF"/>
            <w:tcMar>
              <w:top w:w="90" w:type="dxa"/>
              <w:left w:w="90" w:type="dxa"/>
              <w:bottom w:w="90" w:type="dxa"/>
              <w:right w:w="90" w:type="dxa"/>
            </w:tcMar>
          </w:tcPr>
          <w:p>
            <w:pPr>
              <w:spacing w:after="40" w:line="247" w:lineRule="auto"/>
            </w:pPr>
            <w:r>
              <w:rPr>
                <w:b w:val="0"/>
                <w:color w:val="111111"/>
                <w:sz w:val="18"/>
              </w:rPr>
              <w:t>No body; status in path</w:t>
            </w:r>
          </w:p>
        </w:tc>
        <w:tc>
          <w:tcPr>
            <w:tcW w:type="dxa" w:w="3427"/>
            <w:vAlign w:val="center"/>
            <w:shd w:fill="FFFFFF"/>
            <w:tcMar>
              <w:top w:w="90" w:type="dxa"/>
              <w:left w:w="90" w:type="dxa"/>
              <w:bottom w:w="90" w:type="dxa"/>
              <w:right w:w="90" w:type="dxa"/>
            </w:tcMar>
          </w:tcPr>
          <w:p>
            <w:pPr>
              <w:spacing w:after="40" w:line="247" w:lineRule="auto"/>
            </w:pPr>
            <w:r>
              <w:rPr>
                <w:b w:val="0"/>
                <w:color w:val="111111"/>
                <w:sz w:val="18"/>
              </w:rPr>
              <w:t>204 No Content; demo mode only</w:t>
            </w:r>
          </w:p>
        </w:tc>
      </w:tr>
      <w:tr>
        <w:trPr>
          <w:cantSplit/>
        </w:trPr>
        <w:tc>
          <w:tcPr>
            <w:tcW w:type="dxa" w:w="3816"/>
            <w:vAlign w:val="center"/>
            <w:shd w:fill="F1F4F6"/>
            <w:tcMar>
              <w:top w:w="90" w:type="dxa"/>
              <w:left w:w="90" w:type="dxa"/>
              <w:bottom w:w="90" w:type="dxa"/>
              <w:right w:w="90" w:type="dxa"/>
            </w:tcMar>
          </w:tcPr>
          <w:p>
            <w:pPr>
              <w:spacing w:after="40" w:line="247" w:lineRule="auto"/>
              <w:jc w:val="left"/>
            </w:pPr>
            <w:r>
              <w:rPr>
                <w:b w:val="0"/>
                <w:color w:val="111111"/>
                <w:sz w:val="18"/>
              </w:rPr>
              <w:t>POST /api/assets/{id}/shift</w:t>
            </w:r>
          </w:p>
        </w:tc>
        <w:tc>
          <w:tcPr>
            <w:tcW w:type="dxa" w:w="2592"/>
            <w:vAlign w:val="center"/>
            <w:shd w:fill="F1F4F6"/>
            <w:tcMar>
              <w:top w:w="90" w:type="dxa"/>
              <w:left w:w="90" w:type="dxa"/>
              <w:bottom w:w="90" w:type="dxa"/>
              <w:right w:w="90" w:type="dxa"/>
            </w:tcMar>
          </w:tcPr>
          <w:p>
            <w:pPr>
              <w:spacing w:after="40" w:line="247" w:lineRule="auto"/>
            </w:pPr>
            <w:r>
              <w:rPr>
                <w:b w:val="0"/>
                <w:color w:val="111111"/>
                <w:sz w:val="18"/>
              </w:rPr>
              <w:t>JSON with toLocation</w:t>
            </w:r>
          </w:p>
        </w:tc>
        <w:tc>
          <w:tcPr>
            <w:tcW w:type="dxa" w:w="3427"/>
            <w:vAlign w:val="center"/>
            <w:shd w:fill="F1F4F6"/>
            <w:tcMar>
              <w:top w:w="90" w:type="dxa"/>
              <w:left w:w="90" w:type="dxa"/>
              <w:bottom w:w="90" w:type="dxa"/>
              <w:right w:w="90" w:type="dxa"/>
            </w:tcMar>
          </w:tcPr>
          <w:p>
            <w:pPr>
              <w:spacing w:after="40" w:line="247" w:lineRule="auto"/>
            </w:pPr>
            <w:r>
              <w:rPr>
                <w:b w:val="0"/>
                <w:color w:val="111111"/>
                <w:sz w:val="18"/>
              </w:rPr>
              <w:t>200 JSON with asset authorized alertCreated message and block</w:t>
            </w:r>
          </w:p>
        </w:tc>
      </w:tr>
    </w:tbl>
    <w:p>
      <w:pPr>
        <w:spacing w:after="20"/>
      </w:pPr>
      <w:r>
        <w:rPr>
          <w:b w:val="0"/>
        </w:rPr>
      </w:r>
    </w:p>
    <w:p>
      <w:pPr>
        <w:pStyle w:val="Heading2"/>
      </w:pPr>
      <w:r>
        <w:t>Asset input example</w:t>
      </w:r>
    </w:p>
    <w:p>
      <w:pPr>
        <w:spacing w:after="40"/>
      </w:pPr>
      <w:r>
        <w:rPr>
          <w:rFonts w:ascii="Consolas" w:hAnsi="Consolas"/>
          <w:b w:val="0"/>
          <w:sz w:val="18"/>
        </w:rPr>
        <w:t>{</w:t>
      </w:r>
    </w:p>
    <w:p>
      <w:pPr>
        <w:spacing w:after="40"/>
      </w:pPr>
      <w:r>
        <w:rPr>
          <w:rFonts w:ascii="Consolas" w:hAnsi="Consolas"/>
          <w:b w:val="0"/>
          <w:sz w:val="18"/>
        </w:rPr>
        <w:t xml:space="preserve">  "name": "Demonstration phone",</w:t>
      </w:r>
    </w:p>
    <w:p>
      <w:pPr>
        <w:spacing w:after="40"/>
      </w:pPr>
      <w:r>
        <w:rPr>
          <w:rFonts w:ascii="Consolas" w:hAnsi="Consolas"/>
          <w:b w:val="0"/>
          <w:sz w:val="18"/>
        </w:rPr>
        <w:t xml:space="preserve">  "type": "Phone",</w:t>
      </w:r>
    </w:p>
    <w:p>
      <w:pPr>
        <w:spacing w:after="40"/>
      </w:pPr>
      <w:r>
        <w:rPr>
          <w:rFonts w:ascii="Consolas" w:hAnsi="Consolas"/>
          <w:b w:val="0"/>
          <w:sz w:val="18"/>
        </w:rPr>
        <w:t xml:space="preserve">  "serialNo": "DEMO-001",</w:t>
      </w:r>
    </w:p>
    <w:p>
      <w:pPr>
        <w:spacing w:after="40"/>
      </w:pPr>
      <w:r>
        <w:rPr>
          <w:rFonts w:ascii="Consolas" w:hAnsi="Consolas"/>
          <w:b w:val="0"/>
          <w:sz w:val="18"/>
        </w:rPr>
        <w:t xml:space="preserve">  "bluetoothMac": "AA:BB:CC:DD:EE:01",</w:t>
      </w:r>
    </w:p>
    <w:p>
      <w:pPr>
        <w:spacing w:after="40"/>
      </w:pPr>
      <w:r>
        <w:rPr>
          <w:rFonts w:ascii="Consolas" w:hAnsi="Consolas"/>
          <w:b w:val="0"/>
          <w:sz w:val="18"/>
        </w:rPr>
        <w:t xml:space="preserve">  "department": "Public Works",</w:t>
      </w:r>
    </w:p>
    <w:p>
      <w:pPr>
        <w:spacing w:after="40"/>
      </w:pPr>
      <w:r>
        <w:rPr>
          <w:rFonts w:ascii="Consolas" w:hAnsi="Consolas"/>
          <w:b w:val="0"/>
          <w:sz w:val="18"/>
        </w:rPr>
        <w:t xml:space="preserve">  "assignedTo": "Demonstration Officer",</w:t>
      </w:r>
    </w:p>
    <w:p>
      <w:pPr>
        <w:spacing w:after="40"/>
      </w:pPr>
      <w:r>
        <w:rPr>
          <w:rFonts w:ascii="Consolas" w:hAnsi="Consolas"/>
          <w:b w:val="0"/>
          <w:sz w:val="18"/>
        </w:rPr>
        <w:t xml:space="preserve">  "currentLocation": "HQ Main Facility",</w:t>
      </w:r>
    </w:p>
    <w:p>
      <w:pPr>
        <w:spacing w:after="40"/>
      </w:pPr>
      <w:r>
        <w:rPr>
          <w:rFonts w:ascii="Consolas" w:hAnsi="Consolas"/>
          <w:b w:val="0"/>
          <w:sz w:val="18"/>
        </w:rPr>
        <w:t xml:space="preserve">  "allowedLocations": "HQ Main Facility, Dispatch Office"</w:t>
      </w:r>
    </w:p>
    <w:p>
      <w:pPr>
        <w:spacing w:after="40"/>
      </w:pPr>
      <w:r>
        <w:rPr>
          <w:rFonts w:ascii="Consolas" w:hAnsi="Consolas"/>
          <w:b w:val="0"/>
          <w:sz w:val="18"/>
        </w:rPr>
        <w:t>}</w:t>
      </w:r>
    </w:p>
    <w:p>
      <w:pPr>
        <w:pStyle w:val="Heading2"/>
      </w:pPr>
      <w:r>
        <w:t>Transfer input example</w:t>
      </w:r>
    </w:p>
    <w:p>
      <w:pPr>
        <w:spacing w:after="40"/>
      </w:pPr>
      <w:r>
        <w:rPr>
          <w:rFonts w:ascii="Consolas" w:hAnsi="Consolas"/>
          <w:b w:val="0"/>
          <w:sz w:val="18"/>
        </w:rPr>
        <w:t>{ "toLocation": "Dispatch Office" }</w:t>
      </w:r>
    </w:p>
    <w:p>
      <w:r>
        <w:rPr>
          <w:b w:val="0"/>
        </w:rPr>
        <w:t>The transfer destination is required and limited to 150 characters. It may be a custom zone rather than an item in the predefined list. The backend classifies it against the asset permitted places. An unauthorized transfer still returns a successful request response with authorized false and alertCreated true, because recording the breach is the intended operation.</w:t>
      </w:r>
    </w:p>
    <w:p>
      <w:pPr>
        <w:pStyle w:val="Heading2"/>
      </w:pPr>
      <w:r>
        <w:t>Important mutation rules</w:t>
      </w:r>
    </w:p>
    <w:p>
      <w:pPr>
        <w:pStyle w:val="ListBullet"/>
        <w:spacing w:after="80"/>
      </w:pPr>
      <w:r>
        <w:rPr>
          <w:b w:val="0"/>
        </w:rPr>
        <w:t>Serial numbers and MAC addresses must be unique. An existing Bluetooth address is immutable.</w:t>
      </w:r>
    </w:p>
    <w:p>
      <w:pPr>
        <w:pStyle w:val="ListBullet"/>
        <w:spacing w:after="80"/>
      </w:pPr>
      <w:r>
        <w:rPr>
          <w:b w:val="0"/>
        </w:rPr>
        <w:t>Connection simulation accepts CONNECTED or DISCONNECTED only and is rejected outside demo mode.</w:t>
      </w:r>
    </w:p>
    <w:p>
      <w:pPr>
        <w:pStyle w:val="ListBullet"/>
        <w:spacing w:after="80"/>
      </w:pPr>
      <w:r>
        <w:rPr>
          <w:b w:val="0"/>
        </w:rPr>
        <w:t>Location transfer is not restricted to demo mode; an admin can submit one while Windows or Linux monitoring is active.</w:t>
      </w:r>
    </w:p>
    <w:p>
      <w:pPr>
        <w:pStyle w:val="ListBullet"/>
        <w:spacing w:after="80"/>
      </w:pPr>
      <w:r>
        <w:rPr>
          <w:b w:val="0"/>
        </w:rPr>
        <w:t>Missing optional location fields fall back to backend defaults, including on update. Clients should send the existing values when retaining them.</w:t>
      </w:r>
    </w:p>
    <w:p>
      <w:pPr>
        <w:pStyle w:val="ListBullet"/>
        <w:spacing w:after="80"/>
      </w:pPr>
      <w:r>
        <w:rPr>
          <w:b w:val="0"/>
        </w:rPr>
        <w:t>A duplicate integrity violation is reported as a duplicate serial or MAC even if another database constraint caused the failure. Error classification needs refinement.</w:t>
      </w:r>
    </w:p>
    <w:p>
      <w:r>
        <w:br w:type="page"/>
      </w:r>
    </w:p>
    <w:p>
      <w:pPr>
        <w:pStyle w:val="Heading1"/>
      </w:pPr>
      <w:r>
        <w:t>10 Bluetooth monitoring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035"/>
      </w:tblGrid>
      <w:tr>
        <w:trPr>
          <w:tblHeader/>
          <w:cantSplit/>
        </w:trPr>
        <w:tc>
          <w:tcPr>
            <w:tcW w:type="dxa" w:w="1800"/>
            <w:vAlign w:val="center"/>
            <w:shd w:fill="243747"/>
            <w:tcMar>
              <w:top w:w="90" w:type="dxa"/>
              <w:left w:w="90" w:type="dxa"/>
              <w:bottom w:w="90" w:type="dxa"/>
              <w:right w:w="90" w:type="dxa"/>
            </w:tcMar>
          </w:tcPr>
          <w:p>
            <w:pPr>
              <w:spacing w:after="40" w:line="247" w:lineRule="auto"/>
            </w:pPr>
            <w:r>
              <w:rPr>
                <w:b/>
                <w:color w:val="FFFFFF"/>
                <w:sz w:val="18"/>
              </w:rPr>
              <w:t>Mode</w:t>
            </w:r>
          </w:p>
        </w:tc>
        <w:tc>
          <w:tcPr>
            <w:tcW w:type="dxa" w:w="8035"/>
            <w:vAlign w:val="center"/>
            <w:shd w:fill="243747"/>
            <w:tcMar>
              <w:top w:w="90" w:type="dxa"/>
              <w:left w:w="90" w:type="dxa"/>
              <w:bottom w:w="90" w:type="dxa"/>
              <w:right w:w="90" w:type="dxa"/>
            </w:tcMar>
          </w:tcPr>
          <w:p>
            <w:pPr>
              <w:spacing w:after="40" w:line="247" w:lineRule="auto"/>
            </w:pPr>
            <w:r>
              <w:rPr>
                <w:b/>
                <w:color w:val="FFFFFF"/>
                <w:sz w:val="18"/>
              </w:rPr>
              <w:t>Probe and current behavior</w:t>
            </w:r>
          </w:p>
        </w:tc>
      </w:tr>
      <w:tr>
        <w:trPr>
          <w:cantSplit/>
        </w:trPr>
        <w:tc>
          <w:tcPr>
            <w:tcW w:type="dxa" w:w="1800"/>
            <w:vAlign w:val="center"/>
            <w:shd w:fill="F1F4F6"/>
            <w:tcMar>
              <w:top w:w="90" w:type="dxa"/>
              <w:left w:w="90" w:type="dxa"/>
              <w:bottom w:w="90" w:type="dxa"/>
              <w:right w:w="90" w:type="dxa"/>
            </w:tcMar>
          </w:tcPr>
          <w:p>
            <w:pPr>
              <w:spacing w:after="40" w:line="247" w:lineRule="auto"/>
            </w:pPr>
            <w:r>
              <w:rPr>
                <w:b w:val="0"/>
                <w:color w:val="111111"/>
                <w:sz w:val="18"/>
              </w:rPr>
              <w:t>windows default</w:t>
            </w:r>
          </w:p>
        </w:tc>
        <w:tc>
          <w:tcPr>
            <w:tcW w:type="dxa" w:w="8035"/>
            <w:vAlign w:val="center"/>
            <w:shd w:fill="F1F4F6"/>
            <w:tcMar>
              <w:top w:w="90" w:type="dxa"/>
              <w:left w:w="90" w:type="dxa"/>
              <w:bottom w:w="90" w:type="dxa"/>
              <w:right w:w="90" w:type="dxa"/>
            </w:tcMar>
          </w:tcPr>
          <w:p>
            <w:pPr>
              <w:spacing w:after="40" w:line="247" w:lineRule="auto"/>
            </w:pPr>
            <w:r>
              <w:rPr>
                <w:b w:val="0"/>
                <w:color w:val="111111"/>
                <w:sz w:val="18"/>
              </w:rPr>
              <w:t>Runs powershell -NoProfile -NonInteractive and Get-PnpDevice -Class Bluetooth. Matches an InstanceId containing the MAC without colons. First Status value OK becomes CONNECTED; other returned output becomes DISCONNECTED.</w:t>
            </w:r>
          </w:p>
        </w:tc>
      </w:tr>
      <w:tr>
        <w:trPr>
          <w:cantSplit/>
        </w:trPr>
        <w:tc>
          <w:tcPr>
            <w:tcW w:type="dxa" w:w="1800"/>
            <w:vAlign w:val="center"/>
            <w:shd w:fill="FFFFFF"/>
            <w:tcMar>
              <w:top w:w="90" w:type="dxa"/>
              <w:left w:w="90" w:type="dxa"/>
              <w:bottom w:w="90" w:type="dxa"/>
              <w:right w:w="90" w:type="dxa"/>
            </w:tcMar>
          </w:tcPr>
          <w:p>
            <w:pPr>
              <w:spacing w:after="40" w:line="247" w:lineRule="auto"/>
            </w:pPr>
            <w:r>
              <w:rPr>
                <w:b w:val="0"/>
                <w:color w:val="111111"/>
                <w:sz w:val="18"/>
              </w:rPr>
              <w:t>linux</w:t>
            </w:r>
          </w:p>
        </w:tc>
        <w:tc>
          <w:tcPr>
            <w:tcW w:type="dxa" w:w="8035"/>
            <w:vAlign w:val="center"/>
            <w:shd w:fill="FFFFFF"/>
            <w:tcMar>
              <w:top w:w="90" w:type="dxa"/>
              <w:left w:w="90" w:type="dxa"/>
              <w:bottom w:w="90" w:type="dxa"/>
              <w:right w:w="90" w:type="dxa"/>
            </w:tcMar>
          </w:tcPr>
          <w:p>
            <w:pPr>
              <w:spacing w:after="40" w:line="247" w:lineRule="auto"/>
            </w:pPr>
            <w:r>
              <w:rPr>
                <w:b w:val="0"/>
                <w:color w:val="111111"/>
                <w:sz w:val="18"/>
              </w:rPr>
              <w:t>Runs bluetoothctl info with the registered MAC. Requires a successful exit and Connected field. Connected yes becomes CONNECTED; another valid Connected value becomes DISCONNECTED.</w:t>
            </w:r>
          </w:p>
        </w:tc>
      </w:tr>
      <w:tr>
        <w:trPr>
          <w:cantSplit/>
        </w:trPr>
        <w:tc>
          <w:tcPr>
            <w:tcW w:type="dxa" w:w="1800"/>
            <w:vAlign w:val="center"/>
            <w:shd w:fill="F1F4F6"/>
            <w:tcMar>
              <w:top w:w="90" w:type="dxa"/>
              <w:left w:w="90" w:type="dxa"/>
              <w:bottom w:w="90" w:type="dxa"/>
              <w:right w:w="90" w:type="dxa"/>
            </w:tcMar>
          </w:tcPr>
          <w:p>
            <w:pPr>
              <w:spacing w:after="40" w:line="247" w:lineRule="auto"/>
            </w:pPr>
            <w:r>
              <w:rPr>
                <w:b w:val="0"/>
                <w:color w:val="111111"/>
                <w:sz w:val="18"/>
              </w:rPr>
              <w:t>demo</w:t>
            </w:r>
          </w:p>
        </w:tc>
        <w:tc>
          <w:tcPr>
            <w:tcW w:type="dxa" w:w="8035"/>
            <w:vAlign w:val="center"/>
            <w:shd w:fill="F1F4F6"/>
            <w:tcMar>
              <w:top w:w="90" w:type="dxa"/>
              <w:left w:w="90" w:type="dxa"/>
              <w:bottom w:w="90" w:type="dxa"/>
              <w:right w:w="90" w:type="dxa"/>
            </w:tcMar>
          </w:tcPr>
          <w:p>
            <w:pPr>
              <w:spacing w:after="40" w:line="247" w:lineRule="auto"/>
            </w:pPr>
            <w:r>
              <w:rPr>
                <w:b w:val="0"/>
                <w:color w:val="111111"/>
                <w:sz w:val="18"/>
              </w:rPr>
              <w:t>Does not run operating system probes. Admin UI controls submit manual connection state changes. Location transfer simulation remains available.</w:t>
            </w:r>
          </w:p>
        </w:tc>
      </w:tr>
    </w:tbl>
    <w:p>
      <w:pPr>
        <w:spacing w:after="20"/>
      </w:pPr>
      <w:r>
        <w:rPr>
          <w:b w:val="0"/>
        </w:rPr>
      </w:r>
    </w:p>
    <w:p>
      <w:pPr>
        <w:pStyle w:val="Heading2"/>
      </w:pPr>
      <w:r>
        <w:t>Timing and process management</w:t>
      </w:r>
    </w:p>
    <w:p>
      <w:r>
        <w:rPr>
          <w:b w:val="0"/>
        </w:rPr>
        <w:t>The scheduler uses a fixed delay of 5000 milliseconds after the preceding batch completes. It checks assets sequentially. Linux probes have a three second timeout and Windows probes an eight second timeout. Therefore the observation interval increases with the number of assets and slow probes. Browser polling adds another interval before a change appears; a guaranteed five second detection time is not supported.</w:t>
      </w:r>
    </w:p>
    <w:p>
      <w:pPr>
        <w:pStyle w:val="Heading2"/>
      </w:pPr>
      <w:r>
        <w:t>Probe failure handling</w:t>
      </w:r>
    </w:p>
    <w:p>
      <w:r>
        <w:rPr>
          <w:b w:val="0"/>
        </w:rPr>
        <w:t>A timeout or Java exception is logged and preserves the previous state. This can leave an old CONNECTED value visible even when no new observation succeeds. The UI does not currently display probe health or a last successful probe timestamp. The Windows code does not check process exitValue before classifying its output, so a returned PowerShell error message can be treated as a disconnection rather than a probe failure.</w:t>
      </w:r>
    </w:p>
    <w:p>
      <w:pPr>
        <w:pStyle w:val="Heading2"/>
      </w:pPr>
      <w:r>
        <w:t>Windows evidence limitation</w:t>
      </w:r>
    </w:p>
    <w:p>
      <w:r>
        <w:rPr>
          <w:b w:val="0"/>
        </w:rPr>
        <w:t>Get-PnpDevice reports Plug and Play device information and health. An OK status is not a validated Bluetooth profile connection or distance measurement. Known paired devices may still be represented when no live connection exists. The current Windows adapter must be tested against the actual phone and replaced or strengthened before claiming reliable out of range detection. Using a device specific profile API or an authenticated phone heartbeat is a possible next step.</w:t>
      </w:r>
    </w:p>
    <w:p>
      <w:pPr>
        <w:pStyle w:val="Heading2"/>
      </w:pPr>
      <w:r>
        <w:t>Physical demo boundaries</w:t>
      </w:r>
    </w:p>
    <w:p>
      <w:r>
        <w:rPr>
          <w:b w:val="0"/>
        </w:rPr>
        <w:t>Pairing is performed through the operating system, not inside AssetGuard. The phone must be associated with the MAC registered in the asset record. Connection loss can reflect a disabled radio, a powered off device, a lost profile or interference as well as movement. Hardware and surroundings determine useful range. The code does not calculate meters, radio signal strength or geographical coordinates.</w:t>
      </w:r>
    </w:p>
    <w:p>
      <w:r>
        <w:rPr>
          <w:b w:val="0"/>
        </w:rPr>
        <w:t>Technical reference: Microsoft Learn, Get-PnpDevice, https://learn.microsoft.com/en-us/powershell/module/pnpdevice/get-pnpdevice</w:t>
      </w:r>
    </w:p>
    <w:p>
      <w:r>
        <w:br w:type="page"/>
      </w:r>
    </w:p>
    <w:p>
      <w:pPr>
        <w:pStyle w:val="Heading1"/>
      </w:pPr>
      <w:r>
        <w:t>11 Local cryptographic audit ledger</w:t>
      </w:r>
    </w:p>
    <w:p>
      <w:pPr>
        <w:pStyle w:val="Heading2"/>
      </w:pPr>
      <w:r>
        <w:t>Purpose and event coverage</w:t>
      </w:r>
    </w:p>
    <w:p>
      <w:r>
        <w:rPr>
          <w:b w:val="0"/>
        </w:rPr>
        <w:t>BlockchainService stores a local sequence of blocks in blockchain_blocks. On initialization it creates a GENESIS record if the repository is empty. Asset registration, metadata updates, deletion, authorized transfers, movement breaches and selected connection changes append blocks. This provides an inspectable event chain for the project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6091"/>
      </w:tblGrid>
      <w:tr>
        <w:trPr>
          <w:tblHeader/>
          <w:cantSplit/>
        </w:trPr>
        <w:tc>
          <w:tcPr>
            <w:tcW w:type="dxa" w:w="3744"/>
            <w:vAlign w:val="center"/>
            <w:shd w:fill="243747"/>
            <w:tcMar>
              <w:top w:w="90" w:type="dxa"/>
              <w:left w:w="90" w:type="dxa"/>
              <w:bottom w:w="90" w:type="dxa"/>
              <w:right w:w="90" w:type="dxa"/>
            </w:tcMar>
          </w:tcPr>
          <w:p>
            <w:pPr>
              <w:spacing w:after="40" w:line="247" w:lineRule="auto"/>
            </w:pPr>
            <w:r>
              <w:rPr>
                <w:b/>
                <w:color w:val="FFFFFF"/>
                <w:sz w:val="18"/>
              </w:rPr>
              <w:t>Action</w:t>
            </w:r>
          </w:p>
        </w:tc>
        <w:tc>
          <w:tcPr>
            <w:tcW w:type="dxa" w:w="6091"/>
            <w:vAlign w:val="center"/>
            <w:shd w:fill="243747"/>
            <w:tcMar>
              <w:top w:w="90" w:type="dxa"/>
              <w:left w:w="90" w:type="dxa"/>
              <w:bottom w:w="90" w:type="dxa"/>
              <w:right w:w="90" w:type="dxa"/>
            </w:tcMar>
          </w:tcPr>
          <w:p>
            <w:pPr>
              <w:spacing w:after="40" w:line="247" w:lineRule="auto"/>
            </w:pPr>
            <w:r>
              <w:rPr>
                <w:b/>
                <w:color w:val="FFFFFF"/>
                <w:sz w:val="18"/>
              </w:rPr>
              <w:t>When it is appended</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GENESIS</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Initial ledger setup</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ASSET_REGISTERED and ASSET_UPDATED</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Creation and metadata editing</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ASSET_DELETED</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Deregistration of an asset</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LOCATION_SHIFT</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A transfer to a permitted zone</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SECURITY_BREACH_ALERT</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A transfer to a zone outside the permitted list</w:t>
            </w:r>
          </w:p>
        </w:tc>
      </w:tr>
      <w:tr>
        <w:trPr>
          <w:cantSplit/>
        </w:trPr>
        <w:tc>
          <w:tcPr>
            <w:tcW w:type="dxa" w:w="3744"/>
            <w:vAlign w:val="center"/>
            <w:shd w:fill="FFFFFF"/>
            <w:tcMar>
              <w:top w:w="90" w:type="dxa"/>
              <w:left w:w="90" w:type="dxa"/>
              <w:bottom w:w="90" w:type="dxa"/>
              <w:right w:w="90" w:type="dxa"/>
            </w:tcMar>
          </w:tcPr>
          <w:p>
            <w:pPr>
              <w:spacing w:after="40" w:line="247" w:lineRule="auto"/>
            </w:pPr>
            <w:r>
              <w:rPr>
                <w:b w:val="0"/>
                <w:color w:val="111111"/>
                <w:sz w:val="18"/>
              </w:rPr>
              <w:t>STATUS_ALERT</w:t>
            </w:r>
          </w:p>
        </w:tc>
        <w:tc>
          <w:tcPr>
            <w:tcW w:type="dxa" w:w="6091"/>
            <w:vAlign w:val="center"/>
            <w:shd w:fill="FFFFFF"/>
            <w:tcMar>
              <w:top w:w="90" w:type="dxa"/>
              <w:left w:w="90" w:type="dxa"/>
              <w:bottom w:w="90" w:type="dxa"/>
              <w:right w:w="90" w:type="dxa"/>
            </w:tcMar>
          </w:tcPr>
          <w:p>
            <w:pPr>
              <w:spacing w:after="40" w:line="247" w:lineRule="auto"/>
            </w:pPr>
            <w:r>
              <w:rPr>
                <w:b w:val="0"/>
                <w:color w:val="111111"/>
                <w:sz w:val="18"/>
              </w:rPr>
              <w:t>Disconnection creates a new connection alert</w:t>
            </w:r>
          </w:p>
        </w:tc>
      </w:tr>
      <w:tr>
        <w:trPr>
          <w:cantSplit/>
        </w:trPr>
        <w:tc>
          <w:tcPr>
            <w:tcW w:type="dxa" w:w="3744"/>
            <w:vAlign w:val="center"/>
            <w:shd w:fill="F1F4F6"/>
            <w:tcMar>
              <w:top w:w="90" w:type="dxa"/>
              <w:left w:w="90" w:type="dxa"/>
              <w:bottom w:w="90" w:type="dxa"/>
              <w:right w:w="90" w:type="dxa"/>
            </w:tcMar>
          </w:tcPr>
          <w:p>
            <w:pPr>
              <w:spacing w:after="40" w:line="247" w:lineRule="auto"/>
            </w:pPr>
            <w:r>
              <w:rPr>
                <w:b w:val="0"/>
                <w:color w:val="111111"/>
                <w:sz w:val="18"/>
              </w:rPr>
              <w:t>STATUS_CHANGE</w:t>
            </w:r>
          </w:p>
        </w:tc>
        <w:tc>
          <w:tcPr>
            <w:tcW w:type="dxa" w:w="6091"/>
            <w:vAlign w:val="center"/>
            <w:shd w:fill="F1F4F6"/>
            <w:tcMar>
              <w:top w:w="90" w:type="dxa"/>
              <w:left w:w="90" w:type="dxa"/>
              <w:bottom w:w="90" w:type="dxa"/>
              <w:right w:w="90" w:type="dxa"/>
            </w:tcMar>
          </w:tcPr>
          <w:p>
            <w:pPr>
              <w:spacing w:after="40" w:line="247" w:lineRule="auto"/>
            </w:pPr>
            <w:r>
              <w:rPr>
                <w:b w:val="0"/>
                <w:color w:val="111111"/>
                <w:sz w:val="18"/>
              </w:rPr>
              <w:t>A transition to CONNECTED</w:t>
            </w:r>
          </w:p>
        </w:tc>
      </w:tr>
    </w:tbl>
    <w:p>
      <w:pPr>
        <w:spacing w:after="20"/>
      </w:pPr>
      <w:r>
        <w:rPr>
          <w:b w:val="0"/>
        </w:rPr>
      </w:r>
    </w:p>
    <w:p>
      <w:pPr>
        <w:pStyle w:val="Heading2"/>
      </w:pPr>
      <w:r>
        <w:t>Hash construction and proof of work</w:t>
      </w:r>
    </w:p>
    <w:p>
      <w:r>
        <w:rPr>
          <w:b w:val="0"/>
        </w:rPr>
        <w:t>For each block, the service combines the block index, previous hash, timestamp in epoch milliseconds, action, asset identifier, source location, destination location, operator, details, authorized flag and nonce using colon separators. Java MessageDigest computes SHA-256 and HexFormat creates the hexadecimal string. Mining increments a nonce until the hash begins with one zero, subject to a one million iteration cap. This is a deliberately small demonstration workload.</w:t>
      </w:r>
    </w:p>
    <w:p>
      <w:pPr>
        <w:pStyle w:val="Heading2"/>
      </w:pPr>
      <w:r>
        <w:t>Verification behavior</w:t>
      </w:r>
    </w:p>
    <w:p>
      <w:r>
        <w:rPr>
          <w:b w:val="0"/>
        </w:rPr>
        <w:t>The audit reads blocks in ascending index order, recalculates their hashes, compares each previousHash with the preceding block hash and checks that the first previousHash is 64 zeros. It returns whether those checks passed, how many blocks were read, the latest hash and any detected error. The explorer displays these results and permits a manual verification request.</w:t>
      </w:r>
    </w:p>
    <w:p>
      <w:pPr>
        <w:pStyle w:val="Heading2"/>
      </w:pPr>
      <w:r>
        <w:t>Meaning and limits of a passed check</w:t>
      </w:r>
    </w:p>
    <w:p>
      <w:r>
        <w:rPr>
          <w:b w:val="0"/>
        </w:rPr>
        <w:t>A passed check establishes consistency under the current algorithm for the data read. It does not prove that a location is physically correct, that an operator signed an event, or that a database administrator could not rewrite the chain. There are no distributed peers, consensus protocol, digital signatures or external trusted checkpoints.</w:t>
      </w:r>
    </w:p>
    <w:p>
      <w:r>
        <w:rPr>
          <w:b w:val="0"/>
        </w:rPr>
        <w:t>assetName is excluded from the hash. Verification does not enforce the mining prefix or sequential block indexes, and a valid tail removal can remain undetected. The delimiter based input is not a canonical structured encoding. Ledger append synchronization is local to one JVM; the schema has no unique blockIndex constraint or explicit cross process chain lock. These are improvement items before stronger integrity claims.</w:t>
      </w:r>
    </w:p>
    <w:p>
      <w:r>
        <w:br w:type="page"/>
      </w:r>
    </w:p>
    <w:p>
      <w:pPr>
        <w:pStyle w:val="Heading1"/>
      </w:pPr>
      <w:r>
        <w:t>12 Authentication security and validation</w:t>
      </w:r>
    </w:p>
    <w:p>
      <w:pPr>
        <w:pStyle w:val="Heading2"/>
      </w:pPr>
      <w:r>
        <w:t>Account and session model</w:t>
      </w:r>
    </w:p>
    <w:p>
      <w:r>
        <w:rPr>
          <w:b w:val="0"/>
        </w:rPr>
        <w:t>Spring Security loads usernames, BCrypt password hashes and roles from the users repository. Bootstrap initializes admin and officer accounts only when absent. ADMIN_PASSWORD and OFFICER_PASSWORD are initialization inputs, not password reset mechanisms. If an input is blank, a random initial password is printed once to the startup log and its hash is saved. Credentials should be kept outside documentation and source control.</w:t>
      </w:r>
    </w:p>
    <w:p>
      <w:r>
        <w:rPr>
          <w:b w:val="0"/>
        </w:rPr>
        <w:t>The session cookie is HttpOnly and SameSite=Lax. CSRF protection remains enabled for login, logout and mutations. Authentication failure returns 401; admin authorization is enforced on /api/assets/** mutations independently of whether the interface hides a control. Static React files contain no embedded protected records.</w:t>
      </w:r>
    </w:p>
    <w:p>
      <w:pPr>
        <w:pStyle w:val="Heading2"/>
      </w:pPr>
      <w:r>
        <w:t>Validation and data handling</w:t>
      </w:r>
    </w:p>
    <w:p>
      <w:pPr>
        <w:pStyle w:val="ListBullet"/>
        <w:spacing w:after="80"/>
      </w:pPr>
      <w:r>
        <w:rPr>
          <w:b w:val="0"/>
        </w:rPr>
        <w:t>Required text fields and maximum lengths are checked with Jakarta Validation. MAC addresses must use six colon separated hexadecimal bytes.</w:t>
      </w:r>
    </w:p>
    <w:p>
      <w:pPr>
        <w:pStyle w:val="ListBullet"/>
        <w:spacing w:after="80"/>
      </w:pPr>
      <w:r>
        <w:rPr>
          <w:b w:val="0"/>
        </w:rPr>
        <w:t>The asset input DTO accepts identity assignment and location configuration only. Observed status and generated identifiers are not writable creation fields.</w:t>
      </w:r>
    </w:p>
    <w:p>
      <w:pPr>
        <w:pStyle w:val="ListBullet"/>
        <w:spacing w:after="80"/>
      </w:pPr>
      <w:r>
        <w:rPr>
          <w:b w:val="0"/>
        </w:rPr>
        <w:t>React renders data through normal text expressions. Form failures are shown inline and entered values are retained.</w:t>
      </w:r>
    </w:p>
    <w:p>
      <w:pPr>
        <w:pStyle w:val="ListBullet"/>
        <w:spacing w:after="80"/>
      </w:pPr>
      <w:r>
        <w:rPr>
          <w:b w:val="0"/>
        </w:rPr>
        <w:t>Database uniqueness protects the registered serial number and Bluetooth identity. Asset row locking reduces conflicting updates within tracking transactions.</w:t>
      </w:r>
    </w:p>
    <w:p>
      <w:pPr>
        <w:pStyle w:val="Heading2"/>
      </w:pPr>
      <w:r>
        <w:t>Access boundaries and operational privacy</w:t>
      </w:r>
    </w:p>
    <w:p>
      <w:r>
        <w:rPr>
          <w:b w:val="0"/>
        </w:rPr>
        <w:t>Officer access is read only across all departments. There is no department filter, user management screen, self service password reset, multi factor authentication, login rate limiter or external identity integration. The ledger contains actor labels, but registration, update and deletion currently hard code admin and monitor actions use monitor. Those labels are not signed identity evidence.</w:t>
      </w:r>
    </w:p>
    <w:p>
      <w:r>
        <w:rPr>
          <w:b w:val="0"/>
        </w:rPr>
        <w:t>The server binds to 127.0.0.1 by default. Exposing the system beyond the laptop requires an explicit deployment design for HTTPS, secure cookies, authorization scope, secrets, logs, backups and database permissions. H2 uses a local file and an empty default database password; protect the data directory and avoid treating this configuration as a shared production service.</w:t>
      </w:r>
    </w:p>
    <w:p>
      <w:pPr>
        <w:pStyle w:val="Heading2"/>
      </w:pPr>
      <w:r>
        <w:t>Browser notification privacy</w:t>
      </w:r>
    </w:p>
    <w:p>
      <w:r>
        <w:rPr>
          <w:b w:val="0"/>
        </w:rPr>
        <w:t>Notifications can show an asset name and alert description on the desktop. Permission depends on the user browser settings and should be explained during demonstrations. Notifications are generated from dashboard polling and are not an authenticated background delivery channel. A future design should allow users to opt in deliberately and control message detail.</w:t>
      </w:r>
    </w:p>
    <w:p>
      <w:r>
        <w:br w:type="page"/>
      </w:r>
    </w:p>
    <w:p>
      <w:pPr>
        <w:pStyle w:val="Heading1"/>
      </w:pPr>
      <w:r>
        <w:t>13 Build configuration and operation</w:t>
      </w:r>
    </w:p>
    <w:p>
      <w:pPr>
        <w:pStyle w:val="Heading2"/>
      </w:pPr>
      <w:r>
        <w:t>Build and package</w:t>
      </w:r>
    </w:p>
    <w:p>
      <w:r>
        <w:rPr>
          <w:b w:val="0"/>
        </w:rPr>
        <w:t>Use the project build script after installing the required Java, Maven, Node.js and npm tools. The script installs dependencies from the lock file, runs frontend tests, builds React, then runs Maven clean package. The compilation target is Java 17. Choose a JDK supported by the selected Spring Boot release for deployment; the README also records prior use of Java 26.</w:t>
      </w:r>
    </w:p>
    <w:p>
      <w:pPr>
        <w:spacing w:after="40"/>
      </w:pPr>
      <w:r>
        <w:rPr>
          <w:rFonts w:ascii="Consolas" w:hAnsi="Consolas"/>
          <w:b w:val="0"/>
          <w:sz w:val="18"/>
        </w:rPr>
        <w:t>./scripts/build.ps1</w:t>
      </w:r>
    </w:p>
    <w:p>
      <w:pPr>
        <w:spacing w:after="40"/>
      </w:pPr>
      <w:r>
        <w:rPr>
          <w:rFonts w:ascii="Consolas" w:hAnsi="Consolas"/>
          <w:b w:val="0"/>
          <w:sz w:val="18"/>
        </w:rPr>
        <w:t>java -jar target/asset-tracker-1.0.0.jar</w:t>
      </w:r>
    </w:p>
    <w:p>
      <w:r>
        <w:rPr>
          <w:b w:val="0"/>
        </w:rPr>
        <w:t>The application is accessed at http://localhost:8080. To control dependency and build stages manually:</w:t>
      </w:r>
    </w:p>
    <w:p>
      <w:pPr>
        <w:spacing w:after="40"/>
      </w:pPr>
      <w:r>
        <w:rPr>
          <w:rFonts w:ascii="Consolas" w:hAnsi="Consolas"/>
          <w:b w:val="0"/>
          <w:sz w:val="18"/>
        </w:rPr>
        <w:t>npm --prefix frontend ci</w:t>
      </w:r>
    </w:p>
    <w:p>
      <w:pPr>
        <w:spacing w:after="40"/>
      </w:pPr>
      <w:r>
        <w:rPr>
          <w:rFonts w:ascii="Consolas" w:hAnsi="Consolas"/>
          <w:b w:val="0"/>
          <w:sz w:val="18"/>
        </w:rPr>
        <w:t>npm --prefix frontend test</w:t>
      </w:r>
    </w:p>
    <w:p>
      <w:pPr>
        <w:spacing w:after="40"/>
      </w:pPr>
      <w:r>
        <w:rPr>
          <w:rFonts w:ascii="Consolas" w:hAnsi="Consolas"/>
          <w:b w:val="0"/>
          <w:sz w:val="18"/>
        </w:rPr>
        <w:t>npm --prefix frontend run build</w:t>
      </w:r>
    </w:p>
    <w:p>
      <w:pPr>
        <w:spacing w:after="40"/>
      </w:pPr>
      <w:r>
        <w:rPr>
          <w:rFonts w:ascii="Consolas" w:hAnsi="Consolas"/>
          <w:b w:val="0"/>
          <w:sz w:val="18"/>
        </w:rPr>
        <w:t>mvn clean package</w:t>
      </w:r>
    </w:p>
    <w:p>
      <w:pPr>
        <w:pStyle w:val="Heading2"/>
      </w:pPr>
      <w:r>
        <w:t>Development workflow</w:t>
      </w:r>
    </w:p>
    <w:p>
      <w:r>
        <w:rPr>
          <w:b w:val="0"/>
        </w:rPr>
        <w:t>Run the backend first, then start Vite using npm --prefix frontend run dev. The normal frontend URL is http://127.0.0.1:5173. The Vite proxy forwards /api requests to 127.0.0.1:8080. Rebuild frontend/dist before creating a new backend package; Maven does not run npm automatically.</w:t>
      </w:r>
    </w:p>
    <w:p>
      <w:pPr>
        <w:pStyle w:val="Heading2"/>
      </w:pPr>
      <w:r>
        <w:t>Configuration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5947"/>
      </w:tblGrid>
      <w:tr>
        <w:trPr>
          <w:tblHeader/>
          <w:cantSplit/>
        </w:trPr>
        <w:tc>
          <w:tcPr>
            <w:tcW w:type="dxa" w:w="3888"/>
            <w:vAlign w:val="center"/>
            <w:shd w:fill="243747"/>
            <w:tcMar>
              <w:top w:w="90" w:type="dxa"/>
              <w:left w:w="90" w:type="dxa"/>
              <w:bottom w:w="90" w:type="dxa"/>
              <w:right w:w="90" w:type="dxa"/>
            </w:tcMar>
          </w:tcPr>
          <w:p>
            <w:pPr>
              <w:spacing w:after="40" w:line="247" w:lineRule="auto"/>
            </w:pPr>
            <w:r>
              <w:rPr>
                <w:b/>
                <w:color w:val="FFFFFF"/>
                <w:sz w:val="18"/>
              </w:rPr>
              <w:t>Setting</w:t>
            </w:r>
          </w:p>
        </w:tc>
        <w:tc>
          <w:tcPr>
            <w:tcW w:type="dxa" w:w="5947"/>
            <w:vAlign w:val="center"/>
            <w:shd w:fill="243747"/>
            <w:tcMar>
              <w:top w:w="90" w:type="dxa"/>
              <w:left w:w="90" w:type="dxa"/>
              <w:bottom w:w="90" w:type="dxa"/>
              <w:right w:w="90" w:type="dxa"/>
            </w:tcMar>
          </w:tcPr>
          <w:p>
            <w:pPr>
              <w:spacing w:after="40" w:line="247" w:lineRule="auto"/>
            </w:pPr>
            <w:r>
              <w:rPr>
                <w:b/>
                <w:color w:val="FFFFFF"/>
                <w:sz w:val="18"/>
              </w:rPr>
              <w:t>Use</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TRACKING_MODE</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windows default; linux for BlueZ; demo for manual connection observations</w:t>
            </w:r>
          </w:p>
        </w:tc>
      </w:tr>
      <w:tr>
        <w:trPr>
          <w:cantSplit/>
        </w:trPr>
        <w:tc>
          <w:tcPr>
            <w:tcW w:type="dxa" w:w="3888"/>
            <w:vAlign w:val="center"/>
            <w:shd w:fill="FFFFFF"/>
            <w:tcMar>
              <w:top w:w="90" w:type="dxa"/>
              <w:left w:w="90" w:type="dxa"/>
              <w:bottom w:w="90" w:type="dxa"/>
              <w:right w:w="90" w:type="dxa"/>
            </w:tcMar>
          </w:tcPr>
          <w:p>
            <w:pPr>
              <w:spacing w:after="40" w:line="247" w:lineRule="auto"/>
            </w:pPr>
            <w:r>
              <w:rPr>
                <w:b w:val="0"/>
                <w:color w:val="111111"/>
                <w:sz w:val="18"/>
              </w:rPr>
              <w:t>tracking.interval-ms</w:t>
            </w:r>
          </w:p>
        </w:tc>
        <w:tc>
          <w:tcPr>
            <w:tcW w:type="dxa" w:w="5947"/>
            <w:vAlign w:val="center"/>
            <w:shd w:fill="FFFFFF"/>
            <w:tcMar>
              <w:top w:w="90" w:type="dxa"/>
              <w:left w:w="90" w:type="dxa"/>
              <w:bottom w:w="90" w:type="dxa"/>
              <w:right w:w="90" w:type="dxa"/>
            </w:tcMar>
          </w:tcPr>
          <w:p>
            <w:pPr>
              <w:spacing w:after="40" w:line="247" w:lineRule="auto"/>
            </w:pPr>
            <w:r>
              <w:rPr>
                <w:b w:val="0"/>
                <w:color w:val="111111"/>
                <w:sz w:val="18"/>
              </w:rPr>
              <w:t>Backend monitor fixed delay; currently 5000</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ADMIN_PASSWORD and OFFICER_PASSWORD</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Initial passwords for accounts not already stored</w:t>
            </w:r>
          </w:p>
        </w:tc>
      </w:tr>
      <w:tr>
        <w:trPr>
          <w:cantSplit/>
        </w:trPr>
        <w:tc>
          <w:tcPr>
            <w:tcW w:type="dxa" w:w="3888"/>
            <w:vAlign w:val="center"/>
            <w:shd w:fill="FFFFFF"/>
            <w:tcMar>
              <w:top w:w="90" w:type="dxa"/>
              <w:left w:w="90" w:type="dxa"/>
              <w:bottom w:w="90" w:type="dxa"/>
              <w:right w:w="90" w:type="dxa"/>
            </w:tcMar>
          </w:tcPr>
          <w:p>
            <w:pPr>
              <w:spacing w:after="40" w:line="247" w:lineRule="auto"/>
            </w:pPr>
            <w:r>
              <w:rPr>
                <w:b w:val="0"/>
                <w:color w:val="111111"/>
                <w:sz w:val="18"/>
              </w:rPr>
              <w:t>DB_URL DB_USERNAME DB_PASSWORD</w:t>
            </w:r>
          </w:p>
        </w:tc>
        <w:tc>
          <w:tcPr>
            <w:tcW w:type="dxa" w:w="5947"/>
            <w:vAlign w:val="center"/>
            <w:shd w:fill="FFFFFF"/>
            <w:tcMar>
              <w:top w:w="90" w:type="dxa"/>
              <w:left w:w="90" w:type="dxa"/>
              <w:bottom w:w="90" w:type="dxa"/>
              <w:right w:w="90" w:type="dxa"/>
            </w:tcMar>
          </w:tcPr>
          <w:p>
            <w:pPr>
              <w:spacing w:after="40" w:line="247" w:lineRule="auto"/>
            </w:pPr>
            <w:r>
              <w:rPr>
                <w:b w:val="0"/>
                <w:color w:val="111111"/>
                <w:sz w:val="18"/>
              </w:rPr>
              <w:t>MySQL connection details when the mysql profile is active</w:t>
            </w:r>
          </w:p>
        </w:tc>
      </w:tr>
      <w:tr>
        <w:trPr>
          <w:cantSplit/>
        </w:trPr>
        <w:tc>
          <w:tcPr>
            <w:tcW w:type="dxa" w:w="3888"/>
            <w:vAlign w:val="center"/>
            <w:shd w:fill="F1F4F6"/>
            <w:tcMar>
              <w:top w:w="90" w:type="dxa"/>
              <w:left w:w="90" w:type="dxa"/>
              <w:bottom w:w="90" w:type="dxa"/>
              <w:right w:w="90" w:type="dxa"/>
            </w:tcMar>
          </w:tcPr>
          <w:p>
            <w:pPr>
              <w:spacing w:after="40" w:line="247" w:lineRule="auto"/>
            </w:pPr>
            <w:r>
              <w:rPr>
                <w:b w:val="0"/>
                <w:color w:val="111111"/>
                <w:sz w:val="18"/>
              </w:rPr>
              <w:t>spring.profiles.active=mysql</w:t>
            </w:r>
          </w:p>
        </w:tc>
        <w:tc>
          <w:tcPr>
            <w:tcW w:type="dxa" w:w="5947"/>
            <w:vAlign w:val="center"/>
            <w:shd w:fill="F1F4F6"/>
            <w:tcMar>
              <w:top w:w="90" w:type="dxa"/>
              <w:left w:w="90" w:type="dxa"/>
              <w:bottom w:w="90" w:type="dxa"/>
              <w:right w:w="90" w:type="dxa"/>
            </w:tcMar>
          </w:tcPr>
          <w:p>
            <w:pPr>
              <w:spacing w:after="40" w:line="247" w:lineRule="auto"/>
            </w:pPr>
            <w:r>
              <w:rPr>
                <w:b w:val="0"/>
                <w:color w:val="111111"/>
                <w:sz w:val="18"/>
              </w:rPr>
              <w:t>Selects MySQL instead of the default H2 file configuration</w:t>
            </w:r>
          </w:p>
        </w:tc>
      </w:tr>
    </w:tbl>
    <w:p>
      <w:pPr>
        <w:spacing w:after="20"/>
      </w:pPr>
      <w:r>
        <w:rPr>
          <w:b w:val="0"/>
        </w:rPr>
      </w:r>
    </w:p>
    <w:p>
      <w:pPr>
        <w:pStyle w:val="Heading2"/>
      </w:pPr>
      <w:r>
        <w:t>Local data and repeatable operation</w:t>
      </w:r>
    </w:p>
    <w:p>
      <w:r>
        <w:rPr>
          <w:b w:val="0"/>
        </w:rPr>
        <w:t>The default database persists under data/assets relative to the working directory. Launching from another folder may create or use another database. Stop the application before copying an H2 file backup or cleaning build outputs on Windows. The Maven clean plugin is configured not to fail the build on cleanup errors, so a successful package can still contain stale output unless the result is checked. Prefer a clean checkout or an isolated build directory for repeatable delivery.</w:t>
      </w:r>
    </w:p>
    <w:p>
      <w:r>
        <w:rPr>
          <w:b w:val="0"/>
        </w:rPr>
        <w:t>A register-phone.ps1 helper exists but embeds a particular device and a fixed login assumption. Parameterize the helper before reuse. Do not copy real device identifiers or credentials into shared project reports.</w:t>
      </w:r>
    </w:p>
    <w:p>
      <w:r>
        <w:br w:type="page"/>
      </w:r>
    </w:p>
    <w:p>
      <w:pPr>
        <w:pStyle w:val="Heading1"/>
      </w:pPr>
      <w:r>
        <w:t>14 Testing and demonstration acceptance</w:t>
      </w:r>
    </w:p>
    <w:p>
      <w:pPr>
        <w:pStyle w:val="Heading2"/>
      </w:pPr>
      <w:r>
        <w:t>Automated test definitions</w:t>
      </w:r>
    </w:p>
    <w:p>
      <w:r>
        <w:rPr>
          <w:b w:val="0"/>
        </w:rPr>
        <w:t>The current source contains 12 Java test methods and 6 React component tests. These definitions document intended behavior; a current clean execution is required before making a release pass claim. This report does not treat previous test results from an earlier project version as proof of the newer ledger and Windows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87"/>
      </w:tblGrid>
      <w:tr>
        <w:trPr>
          <w:tblHeader/>
          <w:cantSplit/>
        </w:trPr>
        <w:tc>
          <w:tcPr>
            <w:tcW w:type="dxa" w:w="2448"/>
            <w:vAlign w:val="center"/>
            <w:shd w:fill="243747"/>
            <w:tcMar>
              <w:top w:w="90" w:type="dxa"/>
              <w:left w:w="90" w:type="dxa"/>
              <w:bottom w:w="90" w:type="dxa"/>
              <w:right w:w="90" w:type="dxa"/>
            </w:tcMar>
          </w:tcPr>
          <w:p>
            <w:pPr>
              <w:spacing w:after="40" w:line="247" w:lineRule="auto"/>
            </w:pPr>
            <w:r>
              <w:rPr>
                <w:b/>
                <w:color w:val="FFFFFF"/>
                <w:sz w:val="18"/>
              </w:rPr>
              <w:t>Test layer</w:t>
            </w:r>
          </w:p>
        </w:tc>
        <w:tc>
          <w:tcPr>
            <w:tcW w:type="dxa" w:w="7387"/>
            <w:vAlign w:val="center"/>
            <w:shd w:fill="243747"/>
            <w:tcMar>
              <w:top w:w="90" w:type="dxa"/>
              <w:left w:w="90" w:type="dxa"/>
              <w:bottom w:w="90" w:type="dxa"/>
              <w:right w:w="90" w:type="dxa"/>
            </w:tcMar>
          </w:tcPr>
          <w:p>
            <w:pPr>
              <w:spacing w:after="40" w:line="247" w:lineRule="auto"/>
            </w:pPr>
            <w:r>
              <w:rPr>
                <w:b/>
                <w:color w:val="FFFFFF"/>
                <w:sz w:val="18"/>
              </w:rPr>
              <w:t>Covered scenarios</w:t>
            </w:r>
          </w:p>
        </w:tc>
      </w:tr>
      <w:tr>
        <w:trPr>
          <w:cantSplit/>
        </w:trPr>
        <w:tc>
          <w:tcPr>
            <w:tcW w:type="dxa" w:w="2448"/>
            <w:vAlign w:val="center"/>
            <w:shd w:fill="F1F4F6"/>
            <w:tcMar>
              <w:top w:w="90" w:type="dxa"/>
              <w:left w:w="90" w:type="dxa"/>
              <w:bottom w:w="90" w:type="dxa"/>
              <w:right w:w="90" w:type="dxa"/>
            </w:tcMar>
          </w:tcPr>
          <w:p>
            <w:pPr>
              <w:spacing w:after="40" w:line="247" w:lineRule="auto"/>
            </w:pPr>
            <w:r>
              <w:rPr>
                <w:b w:val="0"/>
                <w:color w:val="111111"/>
                <w:sz w:val="18"/>
              </w:rPr>
              <w:t>Java service and API tests</w:t>
            </w:r>
          </w:p>
        </w:tc>
        <w:tc>
          <w:tcPr>
            <w:tcW w:type="dxa" w:w="7387"/>
            <w:vAlign w:val="center"/>
            <w:shd w:fill="F1F4F6"/>
            <w:tcMar>
              <w:top w:w="90" w:type="dxa"/>
              <w:left w:w="90" w:type="dxa"/>
              <w:bottom w:w="90" w:type="dxa"/>
              <w:right w:w="90" w:type="dxa"/>
            </w:tcMar>
          </w:tcPr>
          <w:p>
            <w:pPr>
              <w:spacing w:after="40" w:line="247" w:lineRule="auto"/>
            </w:pPr>
            <w:r>
              <w:rPr>
                <w:b w:val="0"/>
                <w:color w:val="111111"/>
                <w:sz w:val="18"/>
              </w:rPr>
              <w:t>Idempotent observations reconnection resolution retained history authentication anonymous CSRF token officer restrictions CSRF enforcement MAC validation status binding and deep link forwarding.</w:t>
            </w:r>
          </w:p>
        </w:tc>
      </w:tr>
      <w:tr>
        <w:trPr>
          <w:cantSplit/>
        </w:trPr>
        <w:tc>
          <w:tcPr>
            <w:tcW w:type="dxa" w:w="2448"/>
            <w:vAlign w:val="center"/>
            <w:shd w:fill="FFFFFF"/>
            <w:tcMar>
              <w:top w:w="90" w:type="dxa"/>
              <w:left w:w="90" w:type="dxa"/>
              <w:bottom w:w="90" w:type="dxa"/>
              <w:right w:w="90" w:type="dxa"/>
            </w:tcMar>
          </w:tcPr>
          <w:p>
            <w:pPr>
              <w:spacing w:after="40" w:line="247" w:lineRule="auto"/>
            </w:pPr>
            <w:r>
              <w:rPr>
                <w:b w:val="0"/>
                <w:color w:val="111111"/>
                <w:sz w:val="18"/>
              </w:rPr>
              <w:t>Java location and ledger test</w:t>
            </w:r>
          </w:p>
        </w:tc>
        <w:tc>
          <w:tcPr>
            <w:tcW w:type="dxa" w:w="7387"/>
            <w:vAlign w:val="center"/>
            <w:shd w:fill="FFFFFF"/>
            <w:tcMar>
              <w:top w:w="90" w:type="dxa"/>
              <w:left w:w="90" w:type="dxa"/>
              <w:bottom w:w="90" w:type="dxa"/>
              <w:right w:w="90" w:type="dxa"/>
            </w:tcMar>
          </w:tcPr>
          <w:p>
            <w:pPr>
              <w:spacing w:after="40" w:line="247" w:lineRule="auto"/>
            </w:pPr>
            <w:r>
              <w:rPr>
                <w:b w:val="0"/>
                <w:color w:val="111111"/>
                <w:sz w:val="18"/>
              </w:rPr>
              <w:t>A permitted shift an unauthorized shift alert creation and a valid chain after those operations.</w:t>
            </w:r>
          </w:p>
        </w:tc>
      </w:tr>
      <w:tr>
        <w:trPr>
          <w:cantSplit/>
        </w:trPr>
        <w:tc>
          <w:tcPr>
            <w:tcW w:type="dxa" w:w="2448"/>
            <w:vAlign w:val="center"/>
            <w:shd w:fill="F1F4F6"/>
            <w:tcMar>
              <w:top w:w="90" w:type="dxa"/>
              <w:left w:w="90" w:type="dxa"/>
              <w:bottom w:w="90" w:type="dxa"/>
              <w:right w:w="90" w:type="dxa"/>
            </w:tcMar>
          </w:tcPr>
          <w:p>
            <w:pPr>
              <w:spacing w:after="40" w:line="247" w:lineRule="auto"/>
            </w:pPr>
            <w:r>
              <w:rPr>
                <w:b w:val="0"/>
                <w:color w:val="111111"/>
                <w:sz w:val="18"/>
              </w:rPr>
              <w:t>React component tests</w:t>
            </w:r>
          </w:p>
        </w:tc>
        <w:tc>
          <w:tcPr>
            <w:tcW w:type="dxa" w:w="7387"/>
            <w:vAlign w:val="center"/>
            <w:shd w:fill="F1F4F6"/>
            <w:tcMar>
              <w:top w:w="90" w:type="dxa"/>
              <w:left w:w="90" w:type="dxa"/>
              <w:bottom w:w="90" w:type="dxa"/>
              <w:right w:w="90" w:type="dxa"/>
            </w:tcMar>
          </w:tcPr>
          <w:p>
            <w:pPr>
              <w:spacing w:after="40" w:line="247" w:lineRule="auto"/>
            </w:pPr>
            <w:r>
              <w:rPr>
                <w:b w:val="0"/>
                <w:color w:val="111111"/>
                <w:sz w:val="18"/>
              </w:rPr>
              <w:t>Login dashboard polling without clearing search officer controls preservation of input after a duplicate error movement breach feedback and ledger audit interaction.</w:t>
            </w:r>
          </w:p>
        </w:tc>
      </w:tr>
    </w:tbl>
    <w:p>
      <w:pPr>
        <w:spacing w:after="20"/>
      </w:pPr>
      <w:r>
        <w:rPr>
          <w:b w:val="0"/>
        </w:rPr>
      </w:r>
    </w:p>
    <w:p>
      <w:pPr>
        <w:pStyle w:val="Heading2"/>
      </w:pPr>
      <w:r>
        <w:t>Known test configuration gap</w:t>
      </w:r>
    </w:p>
    <w:p>
      <w:r>
        <w:rPr>
          <w:b w:val="0"/>
        </w:rPr>
        <w:t>The officer read test expects summary.mode to equal demo, but application.properties defaults to windows and the test annotation does not explicitly override tracking.mode. The suite should pin demo mode so it is independent of machine environment and cannot invoke OS probes unexpectedly.</w:t>
      </w:r>
    </w:p>
    <w:p>
      <w:pPr>
        <w:pStyle w:val="Heading2"/>
      </w:pPr>
      <w:r>
        <w:t>Recommended acceptance checks</w:t>
      </w:r>
    </w:p>
    <w:p>
      <w:pPr>
        <w:pStyle w:val="ListBullet"/>
        <w:spacing w:after="80"/>
      </w:pPr>
      <w:r>
        <w:rPr>
          <w:b w:val="0"/>
        </w:rPr>
        <w:t>Use an isolated in memory test database. Verify fresh account initialization login logout expired session behavior and CSRF rotation.</w:t>
      </w:r>
    </w:p>
    <w:p>
      <w:pPr>
        <w:pStyle w:val="ListBullet"/>
        <w:spacing w:after="80"/>
      </w:pPr>
      <w:r>
        <w:rPr>
          <w:b w:val="0"/>
        </w:rPr>
        <w:t>Register edit search and delete a test asset. Confirm duplicate serial and MAC rejection and immutable Bluetooth identity.</w:t>
      </w:r>
    </w:p>
    <w:p>
      <w:pPr>
        <w:pStyle w:val="ListBullet"/>
        <w:spacing w:after="80"/>
      </w:pPr>
      <w:r>
        <w:rPr>
          <w:b w:val="0"/>
        </w:rPr>
        <w:t>In demo mode observe UNKNOWN then CONNECTED then DISCONNECTED then CONNECTED. Confirm no duplicate transition records.</w:t>
      </w:r>
    </w:p>
    <w:p>
      <w:pPr>
        <w:pStyle w:val="ListBullet"/>
        <w:spacing w:after="80"/>
      </w:pPr>
      <w:r>
        <w:rPr>
          <w:b w:val="0"/>
        </w:rPr>
        <w:t>Shift to a permitted zone then to a restricted zone. Check logs alerts and ledger records; return the asset to an allowed zone.</w:t>
      </w:r>
    </w:p>
    <w:p>
      <w:pPr>
        <w:pStyle w:val="ListBullet"/>
        <w:spacing w:after="80"/>
      </w:pPr>
      <w:r>
        <w:rPr>
          <w:b w:val="0"/>
        </w:rPr>
        <w:t>Reproduce reconnect while a location breach is open. The breach must remain open until its location condition is resolved after the alert logic is corrected.</w:t>
      </w:r>
    </w:p>
    <w:p>
      <w:pPr>
        <w:pStyle w:val="ListBullet"/>
        <w:spacing w:after="80"/>
      </w:pPr>
      <w:r>
        <w:rPr>
          <w:b w:val="0"/>
        </w:rPr>
        <w:t>Check ledger validation after simulated data tampering, name edits tail removal concurrent appends and invalid index or proof of work values.</w:t>
      </w:r>
    </w:p>
    <w:p>
      <w:pPr>
        <w:pStyle w:val="ListBullet"/>
        <w:spacing w:after="80"/>
      </w:pPr>
      <w:r>
        <w:rPr>
          <w:b w:val="0"/>
        </w:rPr>
        <w:t>Test the actual Windows phone with Bluetooth enabled disabled powered off and physically moved. Compare OS observations with the UI rather than relying on pairing alone.</w:t>
      </w:r>
    </w:p>
    <w:p>
      <w:r>
        <w:rPr>
          <w:b w:val="0"/>
        </w:rPr>
        <w:t>MySQL connectivity, Windows hardware accuracy, reliable notification delivery and deployment beyond localhost need environment specific acceptance testing. Performance and recovery behavior also require explicit tests before using more than a small demonstration dataset.</w:t>
      </w:r>
    </w:p>
    <w:p>
      <w:r>
        <w:br w:type="page"/>
      </w:r>
    </w:p>
    <w:p>
      <w:pPr>
        <w:pStyle w:val="Heading1"/>
      </w:pPr>
      <w:r>
        <w:t>15 Limitations and development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392"/>
        <w:gridCol w:w="4435"/>
      </w:tblGrid>
      <w:tr>
        <w:trPr>
          <w:tblHeader/>
          <w:cantSplit/>
        </w:trPr>
        <w:tc>
          <w:tcPr>
            <w:tcW w:type="dxa" w:w="1008"/>
            <w:vAlign w:val="center"/>
            <w:shd w:fill="243747"/>
            <w:tcMar>
              <w:top w:w="90" w:type="dxa"/>
              <w:left w:w="90" w:type="dxa"/>
              <w:bottom w:w="90" w:type="dxa"/>
              <w:right w:w="90" w:type="dxa"/>
            </w:tcMar>
          </w:tcPr>
          <w:p>
            <w:pPr>
              <w:spacing w:after="40" w:line="247" w:lineRule="auto"/>
              <w:jc w:val="left"/>
            </w:pPr>
            <w:r>
              <w:rPr>
                <w:b/>
                <w:color w:val="FFFFFF"/>
                <w:sz w:val="17"/>
              </w:rPr>
              <w:t>Priority</w:t>
            </w:r>
          </w:p>
        </w:tc>
        <w:tc>
          <w:tcPr>
            <w:tcW w:type="dxa" w:w="4392"/>
            <w:vAlign w:val="center"/>
            <w:shd w:fill="243747"/>
            <w:tcMar>
              <w:top w:w="90" w:type="dxa"/>
              <w:left w:w="90" w:type="dxa"/>
              <w:bottom w:w="90" w:type="dxa"/>
              <w:right w:w="90" w:type="dxa"/>
            </w:tcMar>
          </w:tcPr>
          <w:p>
            <w:pPr>
              <w:spacing w:after="40" w:line="247" w:lineRule="auto"/>
            </w:pPr>
            <w:r>
              <w:rPr>
                <w:b/>
                <w:color w:val="FFFFFF"/>
                <w:sz w:val="17"/>
              </w:rPr>
              <w:t>Finding</w:t>
            </w:r>
          </w:p>
        </w:tc>
        <w:tc>
          <w:tcPr>
            <w:tcW w:type="dxa" w:w="4435"/>
            <w:vAlign w:val="center"/>
            <w:shd w:fill="243747"/>
            <w:tcMar>
              <w:top w:w="90" w:type="dxa"/>
              <w:left w:w="90" w:type="dxa"/>
              <w:bottom w:w="90" w:type="dxa"/>
              <w:right w:w="90" w:type="dxa"/>
            </w:tcMar>
          </w:tcPr>
          <w:p>
            <w:pPr>
              <w:spacing w:after="40" w:line="247" w:lineRule="auto"/>
            </w:pPr>
            <w:r>
              <w:rPr>
                <w:b/>
                <w:color w:val="FFFFFF"/>
                <w:sz w:val="17"/>
              </w:rPr>
              <w:t>Recommended next action</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Windows PnP health is classified as a live connection. PowerShell error output can also become DISCONNECTED.</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Use a validated device connection API or heartbeat. Check exit codes and represent probe failure separately.</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Reconnection resolves every open alert for an asset, including a location breach. An open movement alert can suppress creation of a connection alert.</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Add explicit alert categories and independent conditions for creation deduplication and resolution.</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High</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Current location can be edited directly through asset save without the relocation authorization workflow.</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Separate configuration updates from movement events or apply the same movement checks to location edits.</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Ledger claims exceed the implemented integrity checks. Actor labels are unsigned and some fields are unhashed.</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Use canonical payload encoding hash all required fields add sequence and work checks and anchor trusted checkpoints.</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Ledger appends are synchronized only within one process, and blockIndex has no uniqueness constraint.</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Define database level append locking and ordering before supporting multiple monitoring stations.</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Location defaults differ between frontend and backend, and free text zones can drift.</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Normalize zones and permitted asset zone associations with consistent identifiers.</w:t>
            </w:r>
          </w:p>
        </w:tc>
      </w:tr>
      <w:tr>
        <w:trPr>
          <w:cantSplit/>
        </w:trPr>
        <w:tc>
          <w:tcPr>
            <w:tcW w:type="dxa" w:w="1008"/>
            <w:vAlign w:val="center"/>
            <w:shd w:fill="F1F4F6"/>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1F4F6"/>
            <w:tcMar>
              <w:top w:w="90" w:type="dxa"/>
              <w:left w:w="90" w:type="dxa"/>
              <w:bottom w:w="90" w:type="dxa"/>
              <w:right w:w="90" w:type="dxa"/>
            </w:tcMar>
          </w:tcPr>
          <w:p>
            <w:pPr>
              <w:spacing w:after="40" w:line="247" w:lineRule="auto"/>
            </w:pPr>
            <w:r>
              <w:rPr>
                <w:b w:val="0"/>
                <w:color w:val="111111"/>
                <w:sz w:val="17"/>
              </w:rPr>
              <w:t>Probe health is not visible. Full ledger retrieval and verification repeat every five seconds.</w:t>
            </w:r>
          </w:p>
        </w:tc>
        <w:tc>
          <w:tcPr>
            <w:tcW w:type="dxa" w:w="4435"/>
            <w:vAlign w:val="center"/>
            <w:shd w:fill="F1F4F6"/>
            <w:tcMar>
              <w:top w:w="90" w:type="dxa"/>
              <w:left w:w="90" w:type="dxa"/>
              <w:bottom w:w="90" w:type="dxa"/>
              <w:right w:w="90" w:type="dxa"/>
            </w:tcMar>
          </w:tcPr>
          <w:p>
            <w:pPr>
              <w:spacing w:after="40" w:line="247" w:lineRule="auto"/>
            </w:pPr>
            <w:r>
              <w:rPr>
                <w:b w:val="0"/>
                <w:color w:val="111111"/>
                <w:sz w:val="17"/>
              </w:rPr>
              <w:t>Add last observation timestamps health indicators pagination and incremental refresh.</w:t>
            </w:r>
          </w:p>
        </w:tc>
      </w:tr>
      <w:tr>
        <w:trPr>
          <w:cantSplit/>
        </w:trPr>
        <w:tc>
          <w:tcPr>
            <w:tcW w:type="dxa" w:w="1008"/>
            <w:vAlign w:val="center"/>
            <w:shd w:fill="FFFFFF"/>
            <w:tcMar>
              <w:top w:w="90" w:type="dxa"/>
              <w:left w:w="90" w:type="dxa"/>
              <w:bottom w:w="90" w:type="dxa"/>
              <w:right w:w="90" w:type="dxa"/>
            </w:tcMar>
          </w:tcPr>
          <w:p>
            <w:pPr>
              <w:spacing w:after="40" w:line="247" w:lineRule="auto"/>
              <w:jc w:val="left"/>
            </w:pPr>
            <w:r>
              <w:rPr>
                <w:b w:val="0"/>
                <w:color w:val="111111"/>
                <w:sz w:val="17"/>
              </w:rPr>
              <w:t>Medium</w:t>
            </w:r>
          </w:p>
        </w:tc>
        <w:tc>
          <w:tcPr>
            <w:tcW w:type="dxa" w:w="4392"/>
            <w:vAlign w:val="center"/>
            <w:shd w:fill="FFFFFF"/>
            <w:tcMar>
              <w:top w:w="90" w:type="dxa"/>
              <w:left w:w="90" w:type="dxa"/>
              <w:bottom w:w="90" w:type="dxa"/>
              <w:right w:w="90" w:type="dxa"/>
            </w:tcMar>
          </w:tcPr>
          <w:p>
            <w:pPr>
              <w:spacing w:after="40" w:line="247" w:lineRule="auto"/>
            </w:pPr>
            <w:r>
              <w:rPr>
                <w:b w:val="0"/>
                <w:color w:val="111111"/>
                <w:sz w:val="17"/>
              </w:rPr>
              <w:t>Some messages can exceed default database column lengths. All integrity violations are labeled as duplicate identity.</w:t>
            </w:r>
          </w:p>
        </w:tc>
        <w:tc>
          <w:tcPr>
            <w:tcW w:type="dxa" w:w="4435"/>
            <w:vAlign w:val="center"/>
            <w:shd w:fill="FFFFFF"/>
            <w:tcMar>
              <w:top w:w="90" w:type="dxa"/>
              <w:left w:w="90" w:type="dxa"/>
              <w:bottom w:w="90" w:type="dxa"/>
              <w:right w:w="90" w:type="dxa"/>
            </w:tcMar>
          </w:tcPr>
          <w:p>
            <w:pPr>
              <w:spacing w:after="40" w:line="247" w:lineRule="auto"/>
            </w:pPr>
            <w:r>
              <w:rPr>
                <w:b w:val="0"/>
                <w:color w:val="111111"/>
                <w:sz w:val="17"/>
              </w:rPr>
              <w:t>Align validation and column lengths for logs alerts and block details; classify failures precisely.</w:t>
            </w:r>
          </w:p>
        </w:tc>
      </w:tr>
    </w:tbl>
    <w:p>
      <w:pPr>
        <w:spacing w:after="20"/>
      </w:pPr>
      <w:r>
        <w:rPr>
          <w:b w:val="0"/>
        </w:rPr>
      </w:r>
    </w:p>
    <w:p>
      <w:pPr>
        <w:pStyle w:val="Heading2"/>
      </w:pPr>
      <w:r>
        <w:t>Planned enhancements rather than current features</w:t>
      </w:r>
    </w:p>
    <w:p>
      <w:r>
        <w:rPr>
          <w:b w:val="0"/>
        </w:rPr>
        <w:t>Future work can include GPS or BLE gateway inputs, department scoped access, maintenance and lifecycle records, email or SMS alerts, map views, approval based transfers, report export, paginated audit queries and centralized deployment. These require additional implementation and validation; they are not capabilities of the present application.</w:t>
      </w:r>
    </w:p>
    <w:p>
      <w:r>
        <w:rPr>
          <w:b w:val="0"/>
        </w:rPr>
        <w:t>The immediate development goal should be a reproducible demonstration with truthful connection and integrity labels. Correctness of observations and alert resolution is more important than adding more dashboard features.</w:t>
      </w:r>
    </w:p>
    <w:p>
      <w:r>
        <w:br w:type="page"/>
      </w:r>
    </w:p>
    <w:p>
      <w:pPr>
        <w:pStyle w:val="Heading1"/>
      </w:pPr>
      <w:r>
        <w:t>16 Implementation map and terminology</w:t>
      </w:r>
    </w:p>
    <w:p>
      <w:pPr>
        <w:pStyle w:val="Heading2"/>
      </w:pPr>
      <w:r>
        <w:t>Source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803"/>
      </w:tblGrid>
      <w:tr>
        <w:trPr>
          <w:tblHeader/>
          <w:cantSplit/>
        </w:trPr>
        <w:tc>
          <w:tcPr>
            <w:tcW w:type="dxa" w:w="4032"/>
            <w:vAlign w:val="center"/>
            <w:shd w:fill="243747"/>
            <w:tcMar>
              <w:top w:w="90" w:type="dxa"/>
              <w:left w:w="90" w:type="dxa"/>
              <w:bottom w:w="90" w:type="dxa"/>
              <w:right w:w="90" w:type="dxa"/>
            </w:tcMar>
          </w:tcPr>
          <w:p>
            <w:pPr>
              <w:spacing w:after="40" w:line="247" w:lineRule="auto"/>
            </w:pPr>
            <w:r>
              <w:rPr>
                <w:b/>
                <w:color w:val="FFFFFF"/>
                <w:sz w:val="17"/>
              </w:rPr>
              <w:t>Source area</w:t>
            </w:r>
          </w:p>
        </w:tc>
        <w:tc>
          <w:tcPr>
            <w:tcW w:type="dxa" w:w="5803"/>
            <w:vAlign w:val="center"/>
            <w:shd w:fill="243747"/>
            <w:tcMar>
              <w:top w:w="90" w:type="dxa"/>
              <w:left w:w="90" w:type="dxa"/>
              <w:bottom w:w="90" w:type="dxa"/>
              <w:right w:w="90" w:type="dxa"/>
            </w:tcMar>
          </w:tcPr>
          <w:p>
            <w:pPr>
              <w:spacing w:after="40" w:line="247" w:lineRule="auto"/>
            </w:pPr>
            <w:r>
              <w:rPr>
                <w:b/>
                <w:color w:val="FFFFFF"/>
                <w:sz w:val="17"/>
              </w:rPr>
              <w:t>Responsibility</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pom.xml</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Spring Boot version Java target dependencies JAR resources and clean plugin behavior</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frontend/package.json and package-lock.json</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Declared and resolved React build and test dependencies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frontend/src/App.jsx</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Login protected layout overview asset forms simulator ledger explorer and reports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frontend/src/api.js</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Fetch helper fresh CSRF headers and expired session handling</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frontend/vite.config.js</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React plugin build output and local API proxy</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ApiController and ApiExceptionHandler</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JSON endpoints validation DTOs and structured errors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SecurityConfig and Bootstrap</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Session security role rules password hashing and initial accounts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TrackingService and BluetoothMonitor</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Business rules database transactions movement classification and OS probes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BlockchainService Block BlockRepository</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Genesis append hashing proof of work persistence and verification</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Entity and repository classes</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Users assets logs alerts database fields and query ordering</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application.properties and mysql profile</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Local defaults database profile monitor mode and environment variables</w:t>
            </w:r>
          </w:p>
        </w:tc>
      </w:tr>
      <w:tr>
        <w:trPr>
          <w:cantSplit/>
        </w:trPr>
        <w:tc>
          <w:tcPr>
            <w:tcW w:type="dxa" w:w="4032"/>
            <w:vAlign w:val="center"/>
            <w:shd w:fill="FFFFFF"/>
            <w:tcMar>
              <w:top w:w="90" w:type="dxa"/>
              <w:left w:w="90" w:type="dxa"/>
              <w:bottom w:w="90" w:type="dxa"/>
              <w:right w:w="90" w:type="dxa"/>
            </w:tcMar>
          </w:tcPr>
          <w:p>
            <w:pPr>
              <w:spacing w:after="40" w:line="247" w:lineRule="auto"/>
            </w:pPr>
            <w:r>
              <w:rPr>
                <w:b w:val="0"/>
                <w:color w:val="111111"/>
                <w:sz w:val="17"/>
              </w:rPr>
              <w:t>ApplicationTest and App.test.jsx</w:t>
            </w:r>
          </w:p>
        </w:tc>
        <w:tc>
          <w:tcPr>
            <w:tcW w:type="dxa" w:w="5803"/>
            <w:vAlign w:val="center"/>
            <w:shd w:fill="FFFFFF"/>
            <w:tcMar>
              <w:top w:w="90" w:type="dxa"/>
              <w:left w:w="90" w:type="dxa"/>
              <w:bottom w:w="90" w:type="dxa"/>
              <w:right w:w="90" w:type="dxa"/>
            </w:tcMar>
          </w:tcPr>
          <w:p>
            <w:pPr>
              <w:spacing w:after="40" w:line="247" w:lineRule="auto"/>
            </w:pPr>
            <w:r>
              <w:rPr>
                <w:b w:val="0"/>
                <w:color w:val="111111"/>
                <w:sz w:val="17"/>
              </w:rPr>
              <w:t>Backend integration and frontend component test definitions</w:t>
            </w:r>
          </w:p>
        </w:tc>
      </w:tr>
      <w:tr>
        <w:trPr>
          <w:cantSplit/>
        </w:trPr>
        <w:tc>
          <w:tcPr>
            <w:tcW w:type="dxa" w:w="4032"/>
            <w:vAlign w:val="center"/>
            <w:shd w:fill="F1F4F6"/>
            <w:tcMar>
              <w:top w:w="90" w:type="dxa"/>
              <w:left w:w="90" w:type="dxa"/>
              <w:bottom w:w="90" w:type="dxa"/>
              <w:right w:w="90" w:type="dxa"/>
            </w:tcMar>
          </w:tcPr>
          <w:p>
            <w:pPr>
              <w:spacing w:after="40" w:line="247" w:lineRule="auto"/>
            </w:pPr>
            <w:r>
              <w:rPr>
                <w:b w:val="0"/>
                <w:color w:val="111111"/>
                <w:sz w:val="17"/>
              </w:rPr>
              <w:t>scripts/build.ps1 and register-phone.ps1</w:t>
            </w:r>
          </w:p>
        </w:tc>
        <w:tc>
          <w:tcPr>
            <w:tcW w:type="dxa" w:w="5803"/>
            <w:vAlign w:val="center"/>
            <w:shd w:fill="F1F4F6"/>
            <w:tcMar>
              <w:top w:w="90" w:type="dxa"/>
              <w:left w:w="90" w:type="dxa"/>
              <w:bottom w:w="90" w:type="dxa"/>
              <w:right w:w="90" w:type="dxa"/>
            </w:tcMar>
          </w:tcPr>
          <w:p>
            <w:pPr>
              <w:spacing w:after="40" w:line="247" w:lineRule="auto"/>
            </w:pPr>
            <w:r>
              <w:rPr>
                <w:b w:val="0"/>
                <w:color w:val="111111"/>
                <w:sz w:val="17"/>
              </w:rPr>
              <w:t>Build orchestration and device specific registration helper</w:t>
            </w:r>
          </w:p>
        </w:tc>
      </w:tr>
    </w:tbl>
    <w:p>
      <w:pPr>
        <w:spacing w:after="20"/>
      </w:pPr>
      <w:r>
        <w:rPr>
          <w:b w:val="0"/>
        </w:rPr>
      </w:r>
    </w:p>
    <w:p>
      <w:r>
        <w:rPr>
          <w:b w:val="0"/>
        </w:rPr>
        <w:t>Java source names in this table are located under src/main/java/gov/assets. Java tests are under src/test/java/gov/assets and React tests under frontend/src. The current code takes precedence where README claims conflict with implementation.</w:t>
      </w:r>
    </w:p>
    <w:p>
      <w:pPr>
        <w:pStyle w:val="Heading2"/>
      </w:pPr>
      <w:r>
        <w:t>Terms used in the project</w:t>
      </w:r>
    </w:p>
    <w:p>
      <w:r>
        <w:rPr>
          <w:b w:val="0"/>
        </w:rPr>
        <w:t>Asset means a registered piece of equipment. Monitoring station means the laptop running Spring Boot and the OS probe. Observation means the state reported by a probe or simulation input. Facility zone means a named place submitted to the movement API. Breach means a recorded move outside an asset permitted list. CSRF token means a session linked value checked on state changing requests. Hash chain means records linked through cryptographic hashes. Proof of work nonce means the changing value used to find a hash with the configured prefix.</w:t>
      </w:r>
    </w:p>
    <w:p>
      <w:pPr>
        <w:pStyle w:val="Heading2"/>
      </w:pPr>
      <w:r>
        <w:t>Document baseline</w:t>
      </w:r>
    </w:p>
    <w:p>
      <w:r>
        <w:rPr>
          <w:b w:val="0"/>
        </w:rPr>
        <w:t>Project version 1.0.0. Code and dependency snapshot dated 30 October 2026. This document describes the implemented local demonstration and the improvements needed before stronger operational guarantees. It intentionally contains no account passwords, real phone identifiers or personal device registration values.</w:t>
      </w:r>
    </w:p>
    <w:sectPr w:rsidR="00FC693F" w:rsidRPr="0006063C" w:rsidSect="00034616">
      <w:footerReference w:type="default" r:id="rId9"/>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AssetGuard  |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Asset Tracking System Project Documentation</dc:title>
  <dc:subject>Current architecture features technology stack operations and implementation limitations</dc:subject>
  <dc:creator>AssetGuard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