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CC" w:rsidRDefault="00055FCC"/>
    <w:p w:rsidR="007342CB" w:rsidRDefault="00055FCC">
      <w:r w:rsidRPr="00055FC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81450"/>
            <wp:effectExtent l="0" t="0" r="0" b="0"/>
            <wp:wrapSquare wrapText="bothSides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0000" cy="5105399"/>
                      <a:chOff x="685800" y="685801"/>
                      <a:chExt cx="7620000" cy="51053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685801"/>
                        <a:ext cx="5257800" cy="1600199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vert="horz" lIns="0" tIns="0" rIns="18288" bIns="0" anchor="b">
                          <a:normAutofit/>
                          <a:scene3d>
                            <a:camera prst="orthographicFront"/>
                            <a:lightRig rig="freezing" dir="t">
                              <a:rot lat="0" lon="0" rev="5640000"/>
                            </a:lightRig>
                          </a:scene3d>
                          <a:sp3d prstMaterial="flat">
                            <a:bevelT w="38100" h="38100"/>
                            <a:contourClr>
                              <a:schemeClr val="tx2"/>
                            </a:contourClr>
                          </a:sp3d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600" b="1" kern="1200">
                              <a:ln>
                                <a:noFill/>
                              </a:ln>
                              <a:solidFill>
                                <a:schemeClr val="accent3">
                                  <a:tint val="90000"/>
                                  <a:satMod val="120000"/>
                                </a:schemeClr>
                              </a:solidFill>
                              <a:effectLst>
                                <a:outerShdw blurRad="38100" dist="25400" dir="54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</a:rPr>
                            <a:t>INTRODUCTION</a:t>
                          </a:r>
                          <a:endParaRPr lang="en-US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066800" y="2362200"/>
                        <a:ext cx="7239000" cy="3429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18288">
                          <a:normAutofit/>
                        </a:bodyPr>
                        <a:lstStyle>
                          <a:lvl1pPr marL="0" marR="4572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5000"/>
                            <a:buFont typeface="Wingdings 2"/>
                            <a:buNone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 2"/>
                            <a:buNone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SzPct val="8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80000"/>
                            <a:buFont typeface="Wingdings 2"/>
                            <a:buNone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FontTx/>
                            <a:buNone/>
                            <a:defRPr kumimoji="0" sz="14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indent="-457200" algn="l">
                            <a:buFont typeface="Arial" pitchFamily="34" charset="0"/>
                            <a:buChar char="•"/>
                          </a:pPr>
                          <a:r>
                            <a:rPr lang="en-US" sz="2400" dirty="0" smtClean="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rPr>
                            <a:t>Came across this fascinating and important all </a:t>
                          </a:r>
                          <a:r>
                            <a:rPr lang="en-US" sz="2400" dirty="0" err="1" smtClean="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rPr>
                            <a:t>empassing</a:t>
                          </a:r>
                          <a:r>
                            <a:rPr lang="en-US" sz="2400" dirty="0" smtClean="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rPr>
                            <a:t> dataset on </a:t>
                          </a:r>
                          <a:r>
                            <a:rPr lang="en-US" sz="2400" dirty="0" err="1" smtClean="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rPr>
                            <a:t>statewise</a:t>
                          </a:r>
                          <a:r>
                            <a:rPr lang="en-US" sz="2400" dirty="0" smtClean="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rPr>
                            <a:t> production in India from 1997-2021</a:t>
                          </a:r>
                          <a:endParaRPr lang="en-US" sz="2400" dirty="0">
                            <a:solidFill>
                              <a:schemeClr val="tx2">
                                <a:lumMod val="75000"/>
                              </a:schemeClr>
                            </a:solidFill>
                          </a:endParaRPr>
                        </a:p>
                        <a:p>
                          <a:pPr marL="457200" indent="-457200" algn="l">
                            <a:buFont typeface="Arial" pitchFamily="34" charset="0"/>
                            <a:buChar char="•"/>
                          </a:pPr>
                          <a:r>
                            <a:rPr lang="en-US" sz="2400" dirty="0" smtClean="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rPr>
                            <a:t>It also gave information about different seasonable graphs at state level and area of cultivating along with total crop production</a:t>
                          </a:r>
                          <a:endParaRPr lang="en-US" sz="2400" dirty="0">
                            <a:solidFill>
                              <a:schemeClr val="tx2">
                                <a:lumMod val="7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br w:type="textWrapping" w:clear="all"/>
      </w:r>
      <w:r w:rsidRPr="00055FCC">
        <w:drawing>
          <wp:inline distT="0" distB="0" distL="0" distR="0">
            <wp:extent cx="5943600" cy="413702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5410199"/>
                      <a:chOff x="685800" y="685801"/>
                      <a:chExt cx="7772400" cy="54101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685801"/>
                        <a:ext cx="3581400" cy="1981199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vert="horz" lIns="0" tIns="0" rIns="18288" bIns="0" anchor="b">
                          <a:normAutofit/>
                          <a:scene3d>
                            <a:camera prst="orthographicFront"/>
                            <a:lightRig rig="freezing" dir="t">
                              <a:rot lat="0" lon="0" rev="5640000"/>
                            </a:lightRig>
                          </a:scene3d>
                          <a:sp3d prstMaterial="flat">
                            <a:bevelT w="38100" h="38100"/>
                            <a:contourClr>
                              <a:schemeClr val="tx2"/>
                            </a:contourClr>
                          </a:sp3d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600" b="1" kern="1200">
                              <a:ln>
                                <a:noFill/>
                              </a:ln>
                              <a:solidFill>
                                <a:schemeClr val="accent3">
                                  <a:tint val="90000"/>
                                  <a:satMod val="120000"/>
                                </a:schemeClr>
                              </a:solidFill>
                              <a:effectLst>
                                <a:outerShdw blurRad="38100" dist="25400" dir="54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</a:rPr>
                            <a:t>PURPOSE</a:t>
                          </a:r>
                          <a:endParaRPr lang="en-US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914400" y="2667000"/>
                        <a:ext cx="7543800" cy="3429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18288">
                          <a:normAutofit/>
                        </a:bodyPr>
                        <a:lstStyle>
                          <a:lvl1pPr marL="0" marR="4572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5000"/>
                            <a:buFont typeface="Wingdings 2"/>
                            <a:buNone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 2"/>
                            <a:buNone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SzPct val="8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80000"/>
                            <a:buFont typeface="Wingdings 2"/>
                            <a:buNone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FontTx/>
                            <a:buNone/>
                            <a:defRPr kumimoji="0" sz="14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Crop production is one of the fundamental branches of agriculture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Crop production is the basis for providing the live stock industry with feed, and the population with food 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Crop products are used in many industries as raw materials of plant origin, such as food, textile, fuel and others.</a:t>
                          </a:r>
                          <a:endParaRPr 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55FCC" w:rsidRPr="00055FCC" w:rsidRDefault="00055FCC" w:rsidP="00055FCC">
      <w:pPr>
        <w:pStyle w:val="Title"/>
        <w:rPr>
          <w:rFonts w:ascii="Bahnschrift" w:hAnsi="Bahnschrift"/>
          <w:color w:val="00B050"/>
        </w:rPr>
      </w:pPr>
      <w:r w:rsidRPr="00055FCC">
        <w:rPr>
          <w:rFonts w:ascii="Bahnschrift" w:hAnsi="Bahnschrift"/>
          <w:color w:val="00B050"/>
        </w:rPr>
        <w:t>ABOUT THE DATA SET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STATE WISE AGRICULTURAL LAND 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AREA VS PRODUCTION 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SEASON BASED CROP CULTIVATION 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CROP PLANTATION BY AREA 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CROPS (PLANTATION BY COUNT) 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YIELD BY SEASON 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 MAJOR CROPS GROWTH Y-O-Y</w:t>
      </w:r>
    </w:p>
    <w:p w:rsidR="00000000" w:rsidRPr="00055FCC" w:rsidRDefault="00055FCC" w:rsidP="00055FCC">
      <w:pPr>
        <w:numPr>
          <w:ilvl w:val="0"/>
          <w:numId w:val="1"/>
        </w:numPr>
      </w:pPr>
      <w:r w:rsidRPr="00055FCC">
        <w:t xml:space="preserve">SEASON WISE PRODUCTION </w:t>
      </w:r>
    </w:p>
    <w:p w:rsidR="00055FCC" w:rsidRPr="00055FCC" w:rsidRDefault="00055FCC" w:rsidP="00055FCC">
      <w:r w:rsidRPr="00055FCC">
        <w:t xml:space="preserve"> </w:t>
      </w:r>
    </w:p>
    <w:p w:rsidR="00055FCC" w:rsidRDefault="00055FCC">
      <w:r w:rsidRPr="00055FCC">
        <w:drawing>
          <wp:inline distT="0" distB="0" distL="0" distR="0">
            <wp:extent cx="5943600" cy="403923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5333999"/>
                      <a:chOff x="685800" y="762001"/>
                      <a:chExt cx="7848600" cy="53339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762001"/>
                        <a:ext cx="3962400" cy="838199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vert="horz" lIns="0" tIns="0" rIns="18288" bIns="0" anchor="b">
                          <a:normAutofit fontScale="90000"/>
                          <a:scene3d>
                            <a:camera prst="orthographicFront"/>
                            <a:lightRig rig="freezing" dir="t">
                              <a:rot lat="0" lon="0" rev="5640000"/>
                            </a:lightRig>
                          </a:scene3d>
                          <a:sp3d prstMaterial="flat">
                            <a:bevelT w="38100" h="38100"/>
                            <a:contourClr>
                              <a:schemeClr val="tx2"/>
                            </a:contourClr>
                          </a:sp3d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600" b="1" kern="1200">
                              <a:ln>
                                <a:noFill/>
                              </a:ln>
                              <a:solidFill>
                                <a:schemeClr val="accent3">
                                  <a:tint val="90000"/>
                                  <a:satMod val="120000"/>
                                </a:schemeClr>
                              </a:solidFill>
                              <a:effectLst>
                                <a:outerShdw blurRad="38100" dist="25400" dir="54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</a:rPr>
                            <a:t>ADVANTAGES</a:t>
                          </a:r>
                          <a:endParaRPr lang="en-US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838200" y="2133600"/>
                        <a:ext cx="7696200" cy="3962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18288">
                          <a:normAutofit/>
                        </a:bodyPr>
                        <a:lstStyle>
                          <a:lvl1pPr marL="0" marR="4572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5000"/>
                            <a:buFont typeface="Wingdings 2"/>
                            <a:buNone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 2"/>
                            <a:buNone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SzPct val="8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80000"/>
                            <a:buFont typeface="Wingdings 2"/>
                            <a:buNone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FontTx/>
                            <a:buNone/>
                            <a:defRPr kumimoji="0" sz="14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There is overall increase in yield of crops mainly due to maintaining physical- chemical properties of soil 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It helps in controlling insects, pests and soil borne diseases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Prevent or limit periods of peak requirements of irrigation water</a:t>
                          </a:r>
                          <a:endParaRPr 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55FCC" w:rsidRDefault="00055FCC">
      <w:r w:rsidRPr="00055FCC">
        <w:drawing>
          <wp:inline distT="0" distB="0" distL="0" distR="0">
            <wp:extent cx="5943600" cy="402082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5257799"/>
                      <a:chOff x="685800" y="762001"/>
                      <a:chExt cx="7772400" cy="52577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762001"/>
                        <a:ext cx="4648200" cy="990599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vert="horz" lIns="0" tIns="0" rIns="18288" bIns="0" anchor="b">
                          <a:normAutofit/>
                          <a:scene3d>
                            <a:camera prst="orthographicFront"/>
                            <a:lightRig rig="freezing" dir="t">
                              <a:rot lat="0" lon="0" rev="5640000"/>
                            </a:lightRig>
                          </a:scene3d>
                          <a:sp3d prstMaterial="flat">
                            <a:bevelT w="38100" h="38100"/>
                            <a:contourClr>
                              <a:schemeClr val="tx2"/>
                            </a:contourClr>
                          </a:sp3d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600" b="1" kern="1200">
                              <a:ln>
                                <a:noFill/>
                              </a:ln>
                              <a:solidFill>
                                <a:schemeClr val="accent3">
                                  <a:tint val="90000"/>
                                  <a:satMod val="120000"/>
                                </a:schemeClr>
                              </a:solidFill>
                              <a:effectLst>
                                <a:outerShdw blurRad="38100" dist="25400" dir="54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sz="4000" dirty="0" smtClean="0">
                              <a:solidFill>
                                <a:srgbClr val="00B050"/>
                              </a:solidFill>
                            </a:rPr>
                            <a:t>DISADVANTAGES</a:t>
                          </a:r>
                          <a:endParaRPr lang="en-US" sz="4000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914400" y="2209800"/>
                        <a:ext cx="7543800" cy="3810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18288">
                          <a:normAutofit/>
                        </a:bodyPr>
                        <a:lstStyle>
                          <a:lvl1pPr marL="0" marR="4572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5000"/>
                            <a:buFont typeface="Wingdings 2"/>
                            <a:buNone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 2"/>
                            <a:buNone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SzPct val="8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80000"/>
                            <a:buFont typeface="Wingdings 2"/>
                            <a:buNone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FontTx/>
                            <a:buNone/>
                            <a:defRPr kumimoji="0" sz="14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Lack of precision 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High input costs 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Limited graph variety 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Weather fluctuations 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Limited space</a:t>
                          </a:r>
                          <a:endParaRPr 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55FCC" w:rsidRDefault="00055FCC">
      <w:r w:rsidRPr="00055FCC">
        <w:drawing>
          <wp:inline distT="0" distB="0" distL="0" distR="0">
            <wp:extent cx="5943600" cy="386334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0000" cy="4952999"/>
                      <a:chOff x="685800" y="990601"/>
                      <a:chExt cx="7620000" cy="49529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990601"/>
                        <a:ext cx="4953000" cy="1295399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vert="horz" lIns="0" tIns="0" rIns="18288" bIns="0" anchor="b">
                          <a:normAutofit/>
                          <a:scene3d>
                            <a:camera prst="orthographicFront"/>
                            <a:lightRig rig="freezing" dir="t">
                              <a:rot lat="0" lon="0" rev="5640000"/>
                            </a:lightRig>
                          </a:scene3d>
                          <a:sp3d prstMaterial="flat">
                            <a:bevelT w="38100" h="38100"/>
                            <a:contourClr>
                              <a:schemeClr val="tx2"/>
                            </a:contourClr>
                          </a:sp3d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600" b="1" kern="1200">
                              <a:ln>
                                <a:noFill/>
                              </a:ln>
                              <a:solidFill>
                                <a:schemeClr val="accent3">
                                  <a:tint val="90000"/>
                                  <a:satMod val="120000"/>
                                </a:schemeClr>
                              </a:solidFill>
                              <a:effectLst>
                                <a:outerShdw blurRad="38100" dist="25400" dir="54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</a:rPr>
                            <a:t>CONCLUSION</a:t>
                          </a:r>
                          <a:endParaRPr lang="en-US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914400" y="2362200"/>
                        <a:ext cx="7391400" cy="3581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18288">
                          <a:normAutofit/>
                        </a:bodyPr>
                        <a:lstStyle>
                          <a:lvl1pPr marL="0" marR="4572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5000"/>
                            <a:buFont typeface="Wingdings 2"/>
                            <a:buNone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 2"/>
                            <a:buNone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SzPct val="8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80000"/>
                            <a:buFont typeface="Wingdings 2"/>
                            <a:buNone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FontTx/>
                            <a:buNone/>
                            <a:defRPr kumimoji="0" sz="14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The agricultural sector is of vital importance for the region.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It undergoing a  process of transition to a market economy, with substantial changes in the social, legal, structural, productive and supply set-ups, as in the case with all other sectors of the economy.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55FCC" w:rsidRDefault="00055FCC">
      <w:r w:rsidRPr="00055FCC">
        <w:drawing>
          <wp:inline distT="0" distB="0" distL="0" distR="0">
            <wp:extent cx="5943600" cy="410527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91400" cy="5105399"/>
                      <a:chOff x="685800" y="685801"/>
                      <a:chExt cx="7391400" cy="510539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685800" y="685801"/>
                        <a:ext cx="5181600" cy="1447799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vert="horz" lIns="0" tIns="0" rIns="18288" bIns="0" anchor="b">
                          <a:normAutofit/>
                          <a:scene3d>
                            <a:camera prst="orthographicFront"/>
                            <a:lightRig rig="freezing" dir="t">
                              <a:rot lat="0" lon="0" rev="5640000"/>
                            </a:lightRig>
                          </a:scene3d>
                          <a:sp3d prstMaterial="flat">
                            <a:bevelT w="38100" h="38100"/>
                            <a:contourClr>
                              <a:schemeClr val="tx2"/>
                            </a:contourClr>
                          </a:sp3d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5600" b="1" kern="1200">
                              <a:ln>
                                <a:noFill/>
                              </a:ln>
                              <a:solidFill>
                                <a:schemeClr val="accent3">
                                  <a:tint val="90000"/>
                                  <a:satMod val="120000"/>
                                </a:schemeClr>
                              </a:solidFill>
                              <a:effectLst>
                                <a:outerShdw blurRad="38100" dist="25400" dir="5400000" algn="tl" rotWithShape="0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>
                              <a:solidFill>
                                <a:srgbClr val="00B050"/>
                              </a:solidFill>
                            </a:rPr>
                            <a:t>FUTURE HOPE</a:t>
                          </a:r>
                          <a:endParaRPr lang="en-US" dirty="0">
                            <a:solidFill>
                              <a:srgbClr val="00B05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Subtitle 2"/>
                      <a:cNvSpPr>
                        <a:spLocks noGrp="1"/>
                      </a:cNvSpPr>
                    </a:nvSpPr>
                    <a:spPr>
                      <a:xfrm>
                        <a:off x="1066800" y="2057400"/>
                        <a:ext cx="7010400" cy="3733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0" rIns="18288">
                          <a:normAutofit/>
                        </a:bodyPr>
                        <a:lstStyle>
                          <a:lvl1pPr marL="0" marR="4572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95000"/>
                            <a:buFont typeface="Wingdings 2"/>
                            <a:buNone/>
                            <a:defRPr kumimoji="0" sz="2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5000"/>
                            <a:buFont typeface="Wingdings 2"/>
                            <a:buNone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 2"/>
                            <a:buNone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3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4"/>
                            </a:buClr>
                            <a:buSzPct val="65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5"/>
                            </a:buClr>
                            <a:buSzPct val="8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6"/>
                            </a:buClr>
                            <a:buSzPct val="80000"/>
                            <a:buFont typeface="Wingdings 2"/>
                            <a:buNone/>
                            <a:defRPr kumimoji="0" sz="16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FontTx/>
                            <a:buNone/>
                            <a:defRPr kumimoji="0" sz="1400" kern="1200" baseline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Save agriculture in India</a:t>
                          </a:r>
                        </a:p>
                        <a:p>
                          <a:pPr algn="l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solidFill>
                                <a:srgbClr val="002060"/>
                              </a:solidFill>
                            </a:rPr>
                            <a:t>To teach agriculture for the next generation</a:t>
                          </a:r>
                          <a:endParaRPr lang="en-US" dirty="0">
                            <a:solidFill>
                              <a:srgbClr val="00206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055FCC" w:rsidSect="00CA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82850"/>
    <w:multiLevelType w:val="hybridMultilevel"/>
    <w:tmpl w:val="4AA87D2A"/>
    <w:lvl w:ilvl="0" w:tplc="360E2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F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CB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AE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5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80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21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ED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6D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55FCC"/>
    <w:rsid w:val="00055FCC"/>
    <w:rsid w:val="0064444D"/>
    <w:rsid w:val="009D37C2"/>
    <w:rsid w:val="00CA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5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063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804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121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60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797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634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486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965">
          <w:marLeft w:val="0"/>
          <w:marRight w:val="72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</dc:creator>
  <cp:lastModifiedBy>sudhakar</cp:lastModifiedBy>
  <cp:revision>1</cp:revision>
  <dcterms:created xsi:type="dcterms:W3CDTF">2023-10-09T09:12:00Z</dcterms:created>
  <dcterms:modified xsi:type="dcterms:W3CDTF">2023-10-09T09:19:00Z</dcterms:modified>
</cp:coreProperties>
</file>