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5911C">
      <w:pPr>
        <w:spacing w:after="200" w:line="276" w:lineRule="auto"/>
        <w:outlineLvl w:val="9"/>
        <w:rPr>
          <w:rFonts w:ascii="Calibri" w:hAnsi="Calibri" w:eastAsia="宋体" w:cs="Times New Roman"/>
          <w:b/>
          <w:color w:val="000000"/>
          <w:sz w:val="24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0FD3B">
      <w:pPr>
        <w:pBdr>
          <w:bottom w:val="single" w:color="4874CB" w:sz="8" w:space="4"/>
        </w:pBdr>
        <w:spacing w:before="0" w:beforeAutospacing="0" w:after="0" w:afterAutospacing="0" w:line="240" w:lineRule="auto"/>
        <w:ind w:left="0" w:leftChars="0" w:right="0" w:rightChars="0" w:firstLine="480" w:firstLineChars="0"/>
        <w:contextualSpacing/>
        <w:jc w:val="center"/>
        <w:outlineLvl w:val="9"/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</w:pPr>
    </w:p>
    <w:p w14:paraId="318DDD83">
      <w:pPr>
        <w:pBdr>
          <w:bottom w:val="single" w:color="4874CB" w:sz="8" w:space="4"/>
        </w:pBdr>
        <w:spacing w:before="0" w:beforeAutospacing="0" w:after="0" w:afterAutospacing="0" w:line="240" w:lineRule="auto"/>
        <w:ind w:left="0" w:leftChars="0" w:right="0" w:rightChars="0" w:firstLine="480" w:firstLineChars="0"/>
        <w:contextualSpacing/>
        <w:jc w:val="center"/>
        <w:outlineLvl w:val="9"/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  <w:t>中国网络软件杯赛—大学生软件设计大赛（2026）</w:t>
      </w:r>
    </w:p>
    <w:p w14:paraId="6B6A0C3A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</w:pPr>
      <w:r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  <w:br w:type="textWrapping"/>
      </w:r>
      <w:r>
        <w:rPr>
          <w:rFonts w:hint="eastAsia" w:ascii="Times New Roman" w:hAnsi="Times New Roman" w:eastAsia="黑体" w:cs="Times New Roman"/>
          <w:kern w:val="2"/>
          <w:sz w:val="112"/>
          <w:szCs w:val="112"/>
          <w:lang w:val="en-US" w:eastAsia="zh-CN" w:bidi="ar-SA"/>
        </w:rPr>
        <w:t>NetNote</w:t>
      </w:r>
      <w:r>
        <w:rPr>
          <w:rFonts w:ascii="Times New Roman" w:hAnsi="Times New Roman" w:eastAsia="黑体" w:cs="Times New Roman"/>
          <w:kern w:val="2"/>
          <w:sz w:val="112"/>
          <w:szCs w:val="112"/>
          <w:lang w:bidi="ar-SA"/>
        </w:rPr>
        <w:br w:type="textWrapping"/>
      </w:r>
      <w:r>
        <w:rPr>
          <w:rFonts w:ascii="微软雅黑" w:hAnsi="微软雅黑" w:eastAsia="方正VDL哥特明朝 简 M" w:cs="Times New Roman"/>
          <w:b/>
          <w:color w:val="1F4E79"/>
          <w:kern w:val="2"/>
          <w:sz w:val="40"/>
          <w:szCs w:val="21"/>
          <w:lang w:val="en-US" w:eastAsia="en-US" w:bidi="ar-SA"/>
        </w:rPr>
        <w:t>基于大模型的计算机网络个性化学习多智能体系统</w:t>
      </w:r>
      <w:r>
        <w:rPr>
          <w:rFonts w:ascii="Times New Roman" w:hAnsi="Times New Roman" w:eastAsia="黑体" w:cs="Times New Roman"/>
          <w:kern w:val="2"/>
          <w:sz w:val="32"/>
          <w:szCs w:val="32"/>
          <w:lang w:bidi="ar-SA"/>
        </w:rPr>
        <w:br w:type="textWrapping"/>
      </w:r>
    </w:p>
    <w:p w14:paraId="26C1DD6A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</w:pPr>
      <w:r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  <w:drawing>
          <wp:inline distT="0" distB="0" distL="114300" distR="114300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A298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项</w:t>
      </w:r>
    </w:p>
    <w:p w14:paraId="540A7823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default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目</w:t>
      </w:r>
    </w:p>
    <w:p w14:paraId="2FE98265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文</w:t>
      </w:r>
    </w:p>
    <w:p w14:paraId="6EF91863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档</w:t>
      </w:r>
    </w:p>
    <w:p w14:paraId="6FD00FA8">
      <w:pPr>
        <w:spacing w:after="200" w:line="276" w:lineRule="auto"/>
        <w:outlineLvl w:val="9"/>
        <w:rPr>
          <w:rFonts w:eastAsia="方正VDL哥特明朝 简 M" w:asciiTheme="minorHAnsi" w:hAnsiTheme="minorHAnsi" w:cstheme="minorBidi"/>
          <w:sz w:val="22"/>
          <w:szCs w:val="22"/>
          <w:lang w:val="en-US" w:eastAsia="en-US" w:bidi="ar-SA"/>
        </w:rPr>
      </w:pPr>
    </w:p>
    <w:p w14:paraId="41DE6FE2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  <w:r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  <w:tab/>
      </w:r>
    </w:p>
    <w:p w14:paraId="67B93198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</w:p>
    <w:p w14:paraId="3206CE6F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</w:p>
    <w:p w14:paraId="42D822C9">
      <w:pPr>
        <w:spacing w:after="240" w:line="276" w:lineRule="auto"/>
        <w:jc w:val="center"/>
        <w:outlineLvl w:val="9"/>
        <w:rPr>
          <w:rFonts w:hint="eastAsia" w:ascii="方正小标宋_GBK" w:hAnsi="方正小标宋_GBK" w:eastAsia="方正小标宋_GBK" w:cs="方正小标宋_GBK"/>
          <w:sz w:val="22"/>
          <w:szCs w:val="22"/>
          <w:lang w:val="en-US" w:eastAsia="en-US" w:bidi="ar-SA"/>
        </w:rPr>
      </w:pPr>
      <w:r>
        <w:rPr>
          <w:rFonts w:hint="eastAsia" w:ascii="方正小标宋_GBK" w:hAnsi="方正小标宋_GBK" w:eastAsia="方正小标宋_GBK" w:cs="方正小标宋_GBK"/>
          <w:b/>
          <w:color w:val="1F4E79"/>
          <w:sz w:val="44"/>
          <w:szCs w:val="22"/>
          <w:lang w:val="en-US" w:eastAsia="en-US" w:bidi="ar-SA"/>
        </w:rPr>
        <w:t>NetNote：基于大模型的计算机网络个性化学习多智能体系统</w:t>
      </w:r>
    </w:p>
    <w:p w14:paraId="03EF4A36">
      <w:pPr>
        <w:spacing w:after="960" w:line="276" w:lineRule="auto"/>
        <w:jc w:val="center"/>
        <w:outlineLvl w:val="9"/>
        <w:rPr>
          <w:rFonts w:hint="eastAsia" w:ascii="方正小标宋_GBK" w:hAnsi="方正小标宋_GBK" w:eastAsia="方正小标宋_GBK" w:cs="方正小标宋_GBK"/>
          <w:sz w:val="22"/>
          <w:szCs w:val="22"/>
          <w:lang w:val="en-US" w:eastAsia="en-US" w:bidi="ar-SA"/>
        </w:rPr>
      </w:pPr>
      <w:r>
        <w:rPr>
          <w:rFonts w:hint="eastAsia" w:ascii="方正小标宋_GBK" w:hAnsi="方正小标宋_GBK" w:eastAsia="方正小标宋_GBK" w:cs="方正小标宋_GBK"/>
          <w:color w:val="595959"/>
          <w:sz w:val="28"/>
          <w:szCs w:val="22"/>
          <w:lang w:val="en-US" w:eastAsia="en-US" w:bidi="ar-SA"/>
        </w:rPr>
        <w:t>一站式多模态资源生成与多智能体协同开发系统说明书</w:t>
      </w:r>
    </w:p>
    <w:p w14:paraId="144BCED8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723E5F31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1B6649E8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1CD39546">
      <w:pPr>
        <w:tabs>
          <w:tab w:val="left" w:pos="2725"/>
        </w:tabs>
        <w:spacing w:after="200" w:line="276" w:lineRule="auto"/>
        <w:jc w:val="left"/>
        <w:outlineLvl w:val="9"/>
        <w:rPr>
          <w:rFonts w:ascii="微软雅黑" w:hAnsi="微软雅黑" w:eastAsia="方正VDL哥特明朝 简 M" w:cs="Times New Roman"/>
          <w:b/>
          <w:color w:val="333333"/>
          <w:sz w:val="22"/>
          <w:szCs w:val="22"/>
          <w:lang w:val="en-US" w:eastAsia="en-US" w:bidi="ar-SA"/>
        </w:rPr>
      </w:pPr>
    </w:p>
    <w:p w14:paraId="420BDBAE">
      <w:pPr>
        <w:tabs>
          <w:tab w:val="left" w:pos="2725"/>
        </w:tabs>
        <w:spacing w:after="200" w:line="276" w:lineRule="auto"/>
        <w:jc w:val="left"/>
        <w:outlineLvl w:val="9"/>
        <w:rPr>
          <w:rFonts w:hint="eastAsia" w:ascii="方正仿宋_GBK" w:hAnsi="方正仿宋_GBK" w:eastAsia="方正仿宋_GBK" w:cs="方正仿宋_GBK"/>
          <w:b/>
          <w:color w:val="2F5496"/>
          <w:sz w:val="44"/>
          <w:szCs w:val="28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赛 题 名 称：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A3-基于大模型的个性化资源生成与学习多智能体系统开发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参 赛 组 别：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A组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作 品 名 称：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NetNote 个性化资源自生成网络智能体系统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参 赛 团 队：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第十五届“中国软件杯”参赛项目组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提 交 日 期：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2026年7月</w:t>
      </w:r>
    </w:p>
    <w:p w14:paraId="39BB4A82">
      <w:r>
        <w:br w:type="page"/>
      </w:r>
    </w:p>
    <w:p w14:paraId="7148E52B">
      <w:pPr>
        <w:pStyle w:val="169"/>
        <w:pageBreakBefore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3ECFECD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_Toc4892 </w:instrText>
      </w:r>
      <w:r>
        <w:fldChar w:fldCharType="separate"/>
      </w:r>
      <w:r>
        <w:t>文档修订历史 (Document Revision History)</w:t>
      </w:r>
      <w:r>
        <w:tab/>
      </w:r>
      <w:r>
        <w:fldChar w:fldCharType="begin"/>
      </w:r>
      <w:r>
        <w:instrText xml:space="preserve"> PAGEREF _Toc4892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7757C8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_Toc4297 </w:instrText>
      </w:r>
      <w:r>
        <w:fldChar w:fldCharType="separate"/>
      </w:r>
      <w:r>
        <w:t>目录 (Table of Contents)</w:t>
      </w:r>
      <w:r>
        <w:tab/>
      </w:r>
      <w:r>
        <w:fldChar w:fldCharType="begin"/>
      </w:r>
      <w:r>
        <w:instrText xml:space="preserve"> PAGEREF _Toc4297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190630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_Toc12212 </w:instrText>
      </w:r>
      <w:r>
        <w:fldChar w:fldCharType="separate"/>
      </w:r>
      <w:r>
        <w:rPr>
          <w:rFonts w:hint="eastAsia"/>
          <w:lang w:eastAsia="zh-CN"/>
        </w:rPr>
        <w:t>第一章：</w:t>
      </w:r>
      <w:r>
        <w:t>项目概述与系统定位</w:t>
      </w:r>
      <w:r>
        <w:tab/>
      </w:r>
      <w:r>
        <w:fldChar w:fldCharType="begin"/>
      </w:r>
      <w:r>
        <w:instrText xml:space="preserve"> PAGEREF _Toc12212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BB6CFF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_Toc28621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研发背景与新时代大学生学习痛点</w:t>
      </w:r>
      <w:r>
        <w:tab/>
      </w:r>
      <w:r>
        <w:fldChar w:fldCharType="begin"/>
      </w:r>
      <w:r>
        <w:instrText xml:space="preserve"> PAGEREF _Toc28621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C85397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_Toc27360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系统定位与应用场景</w:t>
      </w:r>
      <w:r>
        <w:tab/>
      </w:r>
      <w:r>
        <w:fldChar w:fldCharType="begin"/>
      </w:r>
      <w:r>
        <w:instrText xml:space="preserve"> PAGEREF _Toc27360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2D1023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_Toc20930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核心技术亮点与价值</w:t>
      </w:r>
      <w:r>
        <w:tab/>
      </w:r>
      <w:r>
        <w:fldChar w:fldCharType="begin"/>
      </w:r>
      <w:r>
        <w:instrText xml:space="preserve"> PAGEREF _Toc20930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BC540FC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_Toc13888 </w:instrText>
      </w:r>
      <w:r>
        <w:fldChar w:fldCharType="separate"/>
      </w:r>
      <w:r>
        <w:rPr>
          <w:rFonts w:hint="eastAsia"/>
          <w:lang w:eastAsia="zh-CN"/>
        </w:rPr>
        <w:t>第二章：</w:t>
      </w:r>
      <w:r>
        <w:t>可行性分析</w:t>
      </w:r>
      <w:r>
        <w:tab/>
      </w:r>
      <w:r>
        <w:fldChar w:fldCharType="begin"/>
      </w:r>
      <w:r>
        <w:instrText xml:space="preserve"> PAGEREF _Toc13888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F3BE98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_Toc6412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技术可行性分析</w:t>
      </w:r>
      <w:r>
        <w:tab/>
      </w:r>
      <w:r>
        <w:fldChar w:fldCharType="begin"/>
      </w:r>
      <w:r>
        <w:instrText xml:space="preserve"> PAGEREF _Toc6412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B45BFC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_Toc27843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资源可行性分析</w:t>
      </w:r>
      <w:r>
        <w:tab/>
      </w:r>
      <w:r>
        <w:fldChar w:fldCharType="begin"/>
      </w:r>
      <w:r>
        <w:instrText xml:space="preserve"> PAGEREF _Toc27843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D9F106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_Toc13944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市场与实用价值可行性</w:t>
      </w:r>
      <w:r>
        <w:tab/>
      </w:r>
      <w:r>
        <w:fldChar w:fldCharType="begin"/>
      </w:r>
      <w:r>
        <w:instrText xml:space="preserve"> PAGEREF _Toc13944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717200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_Toc7996 </w:instrText>
      </w:r>
      <w:r>
        <w:fldChar w:fldCharType="separate"/>
      </w:r>
      <w:r>
        <w:rPr>
          <w:rFonts w:hint="eastAsia"/>
          <w:lang w:eastAsia="zh-CN"/>
        </w:rPr>
        <w:t>第三章：</w:t>
      </w:r>
      <w:r>
        <w:t>系统需求分析</w:t>
      </w:r>
      <w:r>
        <w:tab/>
      </w:r>
      <w:r>
        <w:fldChar w:fldCharType="begin"/>
      </w:r>
      <w:r>
        <w:instrText xml:space="preserve"> PAGEREF _Toc7996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1AC278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_Toc5629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静态与动态数据需求</w:t>
      </w:r>
      <w:r>
        <w:tab/>
      </w:r>
      <w:r>
        <w:fldChar w:fldCharType="begin"/>
      </w:r>
      <w:r>
        <w:instrText xml:space="preserve"> PAGEREF _Toc5629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113364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_Toc22146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系统数据字典</w:t>
      </w:r>
      <w:r>
        <w:tab/>
      </w:r>
      <w:r>
        <w:fldChar w:fldCharType="begin"/>
      </w:r>
      <w:r>
        <w:instrText xml:space="preserve"> PAGEREF _Toc22146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E1BAFE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_Toc16074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核心功能需求分析</w:t>
      </w:r>
      <w:r>
        <w:tab/>
      </w:r>
      <w:r>
        <w:fldChar w:fldCharType="begin"/>
      </w:r>
      <w:r>
        <w:instrText xml:space="preserve"> PAGEREF _Toc16074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C7420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_Toc32732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非功能性需求分析</w:t>
      </w:r>
      <w:r>
        <w:tab/>
      </w:r>
      <w:r>
        <w:fldChar w:fldCharType="begin"/>
      </w:r>
      <w:r>
        <w:instrText xml:space="preserve"> PAGEREF _Toc32732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3CACA78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_Toc10390 </w:instrText>
      </w:r>
      <w:r>
        <w:fldChar w:fldCharType="separate"/>
      </w:r>
      <w:r>
        <w:rPr>
          <w:rFonts w:hint="eastAsia"/>
          <w:lang w:eastAsia="zh-CN"/>
        </w:rPr>
        <w:t>第四章：</w:t>
      </w:r>
      <w:r>
        <w:t>系统概要设计</w:t>
      </w:r>
      <w:r>
        <w:tab/>
      </w:r>
      <w:r>
        <w:fldChar w:fldCharType="begin"/>
      </w:r>
      <w:r>
        <w:instrText xml:space="preserve"> PAGEREF _Toc10390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8DBFAE7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_Toc7559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总体多端分布式架构设计</w:t>
      </w:r>
      <w:r>
        <w:tab/>
      </w:r>
      <w:r>
        <w:fldChar w:fldCharType="begin"/>
      </w:r>
      <w:r>
        <w:instrText xml:space="preserve"> PAGEREF _Toc7559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CB67A9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_Toc6276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核心业务流转设计</w:t>
      </w:r>
      <w:r>
        <w:tab/>
      </w:r>
      <w:r>
        <w:fldChar w:fldCharType="begin"/>
      </w:r>
      <w:r>
        <w:instrText xml:space="preserve"> PAGEREF _Toc6276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81CC4D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_Toc25743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异常/错误对策降级策略设计</w:t>
      </w:r>
      <w:r>
        <w:tab/>
      </w:r>
      <w:r>
        <w:fldChar w:fldCharType="begin"/>
      </w:r>
      <w:r>
        <w:instrText xml:space="preserve"> PAGEREF _Toc25743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C85CC9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_Toc10781 </w:instrText>
      </w:r>
      <w:r>
        <w:fldChar w:fldCharType="separate"/>
      </w:r>
      <w:r>
        <w:rPr>
          <w:rFonts w:hint="eastAsia"/>
          <w:lang w:eastAsia="zh-CN"/>
        </w:rPr>
        <w:t>第五章：</w:t>
      </w:r>
      <w:r>
        <w:t>数据库详细设计</w:t>
      </w:r>
      <w:r>
        <w:tab/>
      </w:r>
      <w:r>
        <w:fldChar w:fldCharType="begin"/>
      </w:r>
      <w:r>
        <w:instrText xml:space="preserve"> PAGEREF _Toc10781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A11CB6F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_Toc31318 </w:instrText>
      </w:r>
      <w:r>
        <w:fldChar w:fldCharType="separate"/>
      </w:r>
      <w:r>
        <w:rPr>
          <w:rFonts w:hint="eastAsia"/>
          <w:lang w:eastAsia="zh-CN"/>
        </w:rPr>
        <w:t xml:space="preserve">5.1 V2 向量切片存储模型结构表（规划）</w:t>
      </w:r>
      <w:r>
        <w:t/>
      </w:r>
      <w:r>
        <w:tab/>
      </w:r>
      <w:r>
        <w:fldChar w:fldCharType="begin"/>
      </w:r>
      <w:r>
        <w:instrText xml:space="preserve"> PAGEREF _Toc31318 \h </w:instrText>
      </w:r>
      <w:r>
        <w:fldChar w:fldCharType="separate"/>
      </w:r>
      <w:r>
        <w:t/>
      </w:r>
      <w:r>
        <w:fldChar w:fldCharType="end"/>
      </w:r>
      <w:r>
        <w:fldChar w:fldCharType="end"/>
      </w:r>
    </w:p>
    <w:p w14:paraId="37E40C4A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_Toc3377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Studio 伴学物料生成模型结构表 (Studio Resource Generation Schema)</w:t>
      </w:r>
      <w:r>
        <w:tab/>
      </w:r>
      <w:r>
        <w:fldChar w:fldCharType="begin"/>
      </w:r>
      <w:r>
        <w:instrText xml:space="preserve"> PAGEREF _Toc3377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94A550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_Toc22402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严格限制溯源会话消息模型结构表 (Chat Message Reference Schema)</w:t>
      </w:r>
      <w:r>
        <w:tab/>
      </w:r>
      <w:r>
        <w:fldChar w:fldCharType="begin"/>
      </w:r>
      <w:r>
        <w:instrText xml:space="preserve"> PAGEREF _Toc22402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281F3EA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_Toc1944 </w:instrText>
      </w:r>
      <w:r>
        <w:fldChar w:fldCharType="separate"/>
      </w:r>
      <w:r>
        <w:rPr>
          <w:rFonts w:hint="eastAsia"/>
          <w:lang w:eastAsia="zh-CN"/>
        </w:rPr>
        <w:t>第六章：</w:t>
      </w:r>
      <w:r>
        <w:t>详细设计与功能实现</w:t>
      </w:r>
      <w:r>
        <w:tab/>
      </w:r>
      <w:r>
        <w:fldChar w:fldCharType="begin"/>
      </w:r>
      <w:r>
        <w:instrText xml:space="preserve"> PAGEREF _Toc1944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B2D37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_Toc17191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多模态文档解析与  识别模块</w:t>
      </w:r>
      <w:r>
        <w:tab/>
      </w:r>
      <w:r>
        <w:fldChar w:fldCharType="begin"/>
      </w:r>
      <w:r>
        <w:instrText xml:space="preserve"> PAGEREF _Toc17191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734DA31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_Toc560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防幻觉 Grounding 问答与流式 SSE 问答模块</w:t>
      </w:r>
      <w:r>
        <w:tab/>
      </w:r>
      <w:r>
        <w:fldChar w:fldCharType="begin"/>
      </w:r>
      <w:r>
        <w:instrText xml:space="preserve"> PAGEREF _Toc560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65D9B9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_Toc12389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6D画像自适应更新与遗忘曲线决策引擎</w:t>
      </w:r>
      <w:r>
        <w:tab/>
      </w:r>
      <w:r>
        <w:fldChar w:fldCharType="begin"/>
      </w:r>
      <w:r>
        <w:instrText xml:space="preserve"> PAGEREF _Toc12389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4622271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_Toc25222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交互式思维导图与网络层级折叠展开模块</w:t>
      </w:r>
      <w:r>
        <w:tab/>
      </w:r>
      <w:r>
        <w:fldChar w:fldCharType="begin"/>
      </w:r>
      <w:r>
        <w:instrText xml:space="preserve"> PAGEREF _Toc25222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F0C8FCF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_Toc22996 </w:instrText>
      </w:r>
      <w:r>
        <w:fldChar w:fldCharType="separate"/>
      </w:r>
      <w:r>
        <w:rPr>
          <w:rFonts w:hint="eastAsia"/>
          <w:lang w:eastAsia="zh-CN"/>
        </w:rPr>
        <w:t>第七章：</w:t>
      </w:r>
      <w:r>
        <w:t>系统测试与验证报告</w:t>
      </w:r>
      <w:r>
        <w:tab/>
      </w:r>
      <w:r>
        <w:fldChar w:fldCharType="begin"/>
      </w:r>
      <w:r>
        <w:instrText xml:space="preserve"> PAGEREF _Toc22996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F198D9B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_Toc16138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测试环境配置</w:t>
      </w:r>
      <w:r>
        <w:tab/>
      </w:r>
      <w:r>
        <w:fldChar w:fldCharType="begin"/>
      </w:r>
      <w:r>
        <w:instrText xml:space="preserve"> PAGEREF _Toc16138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5CD6263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_Toc4467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核心系统功能测试用例走查矩阵</w:t>
      </w:r>
      <w:r>
        <w:tab/>
      </w:r>
      <w:r>
        <w:fldChar w:fldCharType="begin"/>
      </w:r>
      <w:r>
        <w:instrText xml:space="preserve"> PAGEREF _Toc4467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C1EC1CE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_Toc10700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前后端联合非功能性与内容安全评测</w:t>
      </w:r>
      <w:r>
        <w:tab/>
      </w:r>
      <w:r>
        <w:fldChar w:fldCharType="begin"/>
      </w:r>
      <w:r>
        <w:instrText xml:space="preserve"> PAGEREF _Toc10700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51A78B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_Toc12534 </w:instrText>
      </w:r>
      <w:r>
        <w:fldChar w:fldCharType="separate"/>
      </w:r>
      <w:r>
        <w:rPr>
          <w:rFonts w:hint="eastAsia"/>
          <w:lang w:eastAsia="zh-CN"/>
        </w:rPr>
        <w:t xml:space="preserve">7.4 </w:t>
      </w:r>
      <w:r>
        <w:t>真实高校学生伴学实操消融对比评估报告</w:t>
      </w:r>
      <w:r>
        <w:tab/>
      </w:r>
      <w:r>
        <w:fldChar w:fldCharType="begin"/>
      </w:r>
      <w:r>
        <w:instrText xml:space="preserve"> PAGEREF _Toc12534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FE22204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_Toc28163 </w:instrText>
      </w:r>
      <w:r>
        <w:fldChar w:fldCharType="separate"/>
      </w:r>
      <w:r>
        <w:rPr>
          <w:rFonts w:hint="eastAsia"/>
          <w:lang w:eastAsia="zh-CN"/>
        </w:rPr>
        <w:t>第八章：</w:t>
      </w:r>
      <w:r>
        <w:t>开源合规与 AI Coding 开发辅助说明</w:t>
      </w:r>
      <w:r>
        <w:tab/>
      </w:r>
      <w:r>
        <w:fldChar w:fldCharType="begin"/>
      </w:r>
      <w:r>
        <w:instrText xml:space="preserve"> PAGEREF _Toc28163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CC33A26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_Toc13740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引入开源项目、工具及协议合规标注</w:t>
      </w:r>
      <w:r>
        <w:tab/>
      </w:r>
      <w:r>
        <w:fldChar w:fldCharType="begin"/>
      </w:r>
      <w:r>
        <w:instrText xml:space="preserve"> PAGEREF _Toc13740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6546A5C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_Toc16114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AI Coding 辅助开发工具及协同说明</w:t>
      </w:r>
      <w:r>
        <w:tab/>
      </w:r>
      <w:r>
        <w:fldChar w:fldCharType="begin"/>
      </w:r>
      <w:r>
        <w:instrText xml:space="preserve"> PAGEREF _Toc16114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98A9B0A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_Toc11339 </w:instrText>
      </w:r>
      <w:r>
        <w:fldChar w:fldCharType="separate"/>
      </w:r>
      <w:r>
        <w:rPr>
          <w:rFonts w:hint="eastAsia"/>
          <w:lang w:eastAsia="zh-CN"/>
        </w:rPr>
        <w:t xml:space="preserve">8.3 </w:t>
      </w:r>
      <w:r>
        <w:t>总结与初赛作品提交说明</w:t>
      </w:r>
      <w:r>
        <w:tab/>
      </w:r>
      <w:r>
        <w:fldChar w:fldCharType="begin"/>
      </w:r>
      <w:r>
        <w:instrText xml:space="preserve"> PAGEREF _Toc11339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99EFAB2">
      <w:r>
        <w:fldChar w:fldCharType="end"/>
      </w:r>
    </w:p>
    <w:p w14:paraId="7F806D87"/>
    <w:p w14:paraId="1DAAC757">
      <w:r>
        <w:br w:type="page"/>
      </w:r>
    </w:p>
    <w:p w14:paraId="5E72BFA0">
      <w:pPr>
        <w:pStyle w:val="3"/>
        <w:keepNext/>
        <w:pageBreakBefore/>
      </w:pPr>
      <w:bookmarkStart w:id="0" w:name="_Toc4892"/>
      <w:r>
        <w:t>文档修订历史 (Document Revision History)</w:t>
      </w:r>
      <w:bookmarkEnd w:id="0"/>
    </w:p>
    <w:p w14:paraId="48FF0F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本提交文档严格依据软件工程质量标准规范编制，记录了系统从概念验证阶段向工业级多智能体协同、向量检索及防幻觉架构平滑演进与测试回归的全部开发里程碑。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8"/>
        <w:gridCol w:w="1488"/>
        <w:gridCol w:w="1488"/>
        <w:gridCol w:w="1488"/>
        <w:gridCol w:w="1488"/>
      </w:tblGrid>
      <w:tr w14:paraId="72D5A561">
        <w:trPr>
          <w:jc w:val="center"/>
        </w:trPr>
        <w:tc>
          <w:tcPr>
            <w:tcW w:w="86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F3C0F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A6C0029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修订原因/主要内容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0D9D99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版本号</w:t>
            </w:r>
          </w:p>
        </w:tc>
        <w:tc>
          <w:tcPr>
            <w:tcW w:w="1296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16107C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编制人</w:t>
            </w:r>
          </w:p>
        </w:tc>
        <w:tc>
          <w:tcPr>
            <w:tcW w:w="158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5C7C0B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修订日期</w:t>
            </w:r>
          </w:p>
        </w:tc>
        <w:tc>
          <w:tcPr>
            <w:tcW w:w="187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313244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备注说明</w:t>
            </w:r>
          </w:p>
        </w:tc>
      </w:tr>
      <w:tr w14:paraId="38558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9843E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1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72110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完成核心需求分析与功能框架搭建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E288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V1.0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CCEE6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项目组全员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4CFFF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2026.06.22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0E64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对齐科大讯飞 A3 赛题</w:t>
            </w:r>
          </w:p>
        </w:tc>
      </w:tr>
      <w:tr w14:paraId="3224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37E7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60164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细化系统三层微服务分布式架构体系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D05CF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V1.1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B6F2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系统架构师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36E43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2026.06.28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BB04D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增加算力网关设计</w:t>
            </w:r>
          </w:p>
        </w:tc>
      </w:tr>
      <w:tr w14:paraId="2C66A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8C6B0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3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DEFDE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编写多智能体 Analyzer/Generator 交互时序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078F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V1.2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7C8C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AI 算法组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F13E6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2026.07.03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59B07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设计 System Prompt</w:t>
            </w:r>
          </w:p>
        </w:tc>
      </w:tr>
      <w:tr w14:paraId="55D35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8590C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4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D37E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 PostgreSQL + pgvector 静态数据表设计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BC467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V1.3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AC5E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数据架构师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BAA2D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2026.07.08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B38F0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完成静态与动态表词典</w:t>
            </w:r>
          </w:p>
        </w:tc>
      </w:tr>
      <w:tr w14:paraId="3238C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9B321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5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30A9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加入异常对策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43CC5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V1.4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8DE9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工程重构组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C97B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2026.07.12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E0543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</w:p>
          <w:p w14:paraId="7F5C0306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</w:p>
        </w:tc>
      </w:tr>
      <w:tr w14:paraId="57C09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C5DC0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6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DE82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整合实机实测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  <w:lang w:val="en-US" w:eastAsia="zh-CN"/>
              </w:rPr>
              <w:t>,对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比数据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C0377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V1.5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FDE1F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测试开发组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F4902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2026.07.15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1BC99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最终定稿提交件说明书</w:t>
            </w:r>
          </w:p>
        </w:tc>
      </w:tr>
    </w:tbl>
    <w:p w14:paraId="2FFCB8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1D8660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42FB9EB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" w:name="_Toc12212"/>
      <w:r>
        <w:rPr>
          <w:rFonts w:hint="eastAsia"/>
          <w:lang w:eastAsia="zh-CN"/>
        </w:rPr>
        <w:t>第一章：</w:t>
      </w:r>
      <w:r>
        <w:t>项目概述与系统定位</w:t>
      </w:r>
      <w:bookmarkEnd w:id="1"/>
    </w:p>
    <w:p w14:paraId="1A10BB8B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" w:name="_Toc28621"/>
      <w:r>
        <w:rPr>
          <w:rFonts w:hint="eastAsia"/>
          <w:lang w:eastAsia="zh-CN"/>
        </w:rPr>
        <w:t xml:space="preserve">1.1 </w:t>
      </w:r>
      <w:r>
        <w:t>研发背景与新时代大学生学习痛点</w:t>
      </w:r>
      <w:bookmarkEnd w:id="2"/>
    </w:p>
    <w:p w14:paraId="12B1205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“千人一面”的集体授课制，难以适配学生个体在知识基础、认知风格、易错点偏好上的客观差异。海量的课件PPT、学术论文、长视频网课等数字资源繁杂无序，使得大学生在开展自主学业管理时极易陷入“信息过载”和“认知疲劳”的双重困境。学生往往需要在多个割裂的效率工具（如：笔记软件、备忘录、刷题APP、思维导图工具）之间反复切换，知识流转成本极高，极度渴望一个高度一体化、自适应的智能学习工作台。</w:t>
      </w:r>
    </w:p>
    <w:p w14:paraId="094C996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" w:name="_Toc27360"/>
      <w:r>
        <w:rPr>
          <w:rFonts w:hint="eastAsia"/>
          <w:lang w:eastAsia="zh-CN"/>
        </w:rPr>
        <w:t xml:space="preserve">1.2 </w:t>
      </w:r>
      <w:r>
        <w:t>系统定位与应用场景</w:t>
      </w:r>
      <w:bookmarkEnd w:id="3"/>
    </w:p>
    <w:p w14:paraId="7FDE66B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本系统（NetNote）定位为面向高校学生的计算机网络个性化学习多智能体协同系统。系统以学生自主上传的课程文件、网页资料与可获取的课堂转写为知识底座，围绕“</w:t>
      </w:r>
      <w:r>
        <w:rPr>
          <w:b/>
        </w:rPr>
        <w:t>【对话式画像构建—职责型 Agent 协同—多模态资源生成—练习反馈—路径再规划】</w:t>
      </w:r>
      <w:r>
        <w:t>”形成闭环：既减少繁琐表单和多工具切换，也让每一次提问、练习和复习行为都能沉淀为下一步学习建议。系统在来源可追溯的前提下，为不同基础、目标与偏好的学生提供可解释、可持续调整的伴学支持。</w:t>
      </w:r>
    </w:p>
    <w:p w14:paraId="6433BF1C">
      <w:pPr>
        <w:pStyle w:val="19"/>
        <w:widowControl/>
        <w:numPr>
          <w:ilvl w:val="0"/>
          <w:numId w:val="7"/>
        </w:numPr>
        <w:ind w:left="0" w:leftChars="0" w:firstLine="482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语义化沉浸阅读场景：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场景一：多源课外资料速读与防幻觉智能解惑。当学生面对动辄上百页的复杂学术报告（如：计算机网络经典 RFC 协议规范或课堂实验报告）时，NetNote 能够在毫秒级内完成文档的语义分块与向量入库。学生可通过聊天框直接向资料提问（如“结合来源解释OSI七层模型与TCP/IP模型的区别”），系统将流式输出带精准引用溯源标记的权威解答，点击引用上标即可直接定位并高亮显示原始文本。</w:t>
      </w:r>
    </w:p>
    <w:p w14:paraId="3E0C22AF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ind w:left="0" w:leftChars="0" w:firstLine="482" w:firstLineChars="200"/>
        <w:rPr>
          <w:rStyle w:val="139"/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</w:pPr>
      <w:r>
        <w:rPr>
          <w:rStyle w:val="139"/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>网络检索与即时学术拓展场景：学生可在来源管理栏输入检索词，获得网页候选并选择导入。系统依次尝试 Jina Reader、Trafilatura 和 HTML 清洗提取正文；正文不足时保留搜索摘要作为降级结果。导入后的网页与本地资料进入同一来源库，可用于来源问答和 Studio 学习资源生成。</w:t>
      </w:r>
      <w:r>
        <w:rPr>
          <w:rStyle w:val="139"/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0183BCB3">
      <w:pPr>
        <w:pStyle w:val="33"/>
        <w:keepNext w:val="0"/>
        <w:keepLines w:val="0"/>
        <w:widowControl/>
        <w:suppressLineNumbers w:val="0"/>
        <w:ind w:firstLine="480" w:firstLineChars="200"/>
        <w:rPr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lang w:eastAsia="zh"/>
          <w:woUserID w:val="1"/>
        </w:rPr>
        <w:t>3. 云大学堂课堂转写联动场景：系统可连接云大学堂并导入可获取的课堂转写内容。课堂片段保存课程、章节、起止时间和视频地址等元数据；当问答引用命中课堂片段时，学生可打开视频或课程页面并从对应时间段播放。该能力依赖课程页面和视频地址的可访问性。</w:t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 xml:space="preserve"/>
      </w:r>
      <w:r>
        <w:rPr>
          <w:rStyle w:val="139"/>
          <w:rFonts w:hint="eastAsia" w:ascii="宋体" w:hAnsi="宋体" w:eastAsia="宋体" w:cs="宋体"/>
          <w:b/>
          <w:bCs/>
          <w:sz w:val="24"/>
          <w:szCs w:val="24"/>
          <w:woUserID w:val="1"/>
        </w:rPr>
        <w:t/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/>
      </w:r>
      <w:r>
        <w:rPr>
          <w:rStyle w:val="139"/>
          <w:rFonts w:hint="eastAsia" w:cs="宋体"/>
          <w:sz w:val="24"/>
          <w:szCs w:val="24"/>
          <w:lang w:eastAsia="zh"/>
          <w:woUserID w:val="1"/>
        </w:rPr>
        <w:t/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/>
      </w:r>
    </w:p>
    <w:p w14:paraId="08EC54CB">
      <w:pPr>
        <w:pStyle w:val="19"/>
        <w:widowControl/>
        <w:numPr>
          <w:ilvl w:val="0"/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333333"/>
          <w:sz w:val="24"/>
          <w:szCs w:val="24"/>
        </w:rPr>
      </w:pPr>
      <w:r>
        <w:rPr>
          <w:rFonts w:hint="eastAsia" w:cs="Times New Roman"/>
          <w:b/>
          <w:color w:val="333333"/>
          <w:sz w:val="24"/>
          <w:szCs w:val="24"/>
          <w:lang w:eastAsia="zh"/>
          <w:woUserID w:val="1"/>
        </w:rPr>
        <w:t>4</w:t>
      </w:r>
      <w:r>
        <w:rPr>
          <w:rFonts w:hint="eastAsia" w:cs="Times New Roman"/>
          <w:b/>
          <w:color w:val="333333"/>
          <w:sz w:val="24"/>
          <w:szCs w:val="24"/>
          <w:lang w:eastAsia="zh-CN"/>
        </w:rPr>
        <w:t xml:space="preserve">. 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资源自适应生成场景：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场景二：右侧 Studio 伴学套件个性化多模态资源生成。系统支持一键生成特定来源的概要（Summary）、记忆抽认卡（Flashcards）、阶段性自测练习（Quizzes）、树状折叠思维导图（Mindmaps）、核心问答卡片（Q&amp;A Cards）以及深度拓展阅读材料（Extended Readings）等六种全方位个性化伴学物料。生成的练习题目及卡片可直接进行交互式做题与记忆自评，操作数据直接关联用户画像。</w:t>
      </w:r>
    </w:p>
    <w:p w14:paraId="664FF96B">
      <w:pPr>
        <w:pStyle w:val="19"/>
        <w:widowControl/>
        <w:numPr>
          <w:ilvl w:val="0"/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333333"/>
          <w:sz w:val="24"/>
          <w:szCs w:val="24"/>
        </w:rPr>
      </w:pPr>
      <w:r>
        <w:rPr>
          <w:rFonts w:hint="eastAsia" w:cs="Times New Roman"/>
          <w:b/>
          <w:color w:val="333333"/>
          <w:sz w:val="24"/>
          <w:szCs w:val="24"/>
          <w:lang w:eastAsia="zh"/>
          <w:woUserID w:val="1"/>
        </w:rPr>
        <w:t>5</w:t>
      </w:r>
      <w:r>
        <w:rPr>
          <w:rFonts w:hint="eastAsia" w:cs="Times New Roman"/>
          <w:b/>
          <w:color w:val="333333"/>
          <w:sz w:val="24"/>
          <w:szCs w:val="24"/>
          <w:lang w:eastAsia="zh-CN"/>
        </w:rPr>
        <w:t xml:space="preserve">. 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行为随学自适应更新场景：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场景三：双向反馈式的个性化画像随学随新。学生在使用 Studio 工具套件时的真实互动行为（例如点击闪卡下的“会/不会/跳过”、测验中的对错选择、思维导图的展开层级等），会被多角色 Agent 实时捕捉、建模并分析，从而动态修正并更新包含 6 个核心维度的动态学生画像，据此动态调整后续推送的学习资料难度与引导路径，形成全闭环的学习反馈机制。</w:t>
      </w:r>
    </w:p>
    <w:p w14:paraId="0E9CAE26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4" w:name="_Toc20930"/>
      <w:r>
        <w:rPr>
          <w:rFonts w:hint="eastAsia"/>
          <w:lang w:eastAsia="zh-CN"/>
        </w:rPr>
        <w:t xml:space="preserve">1.3 </w:t>
      </w:r>
      <w:r>
        <w:t>核心技术亮点与价值</w:t>
      </w:r>
      <w:bookmarkEnd w:id="4"/>
    </w:p>
    <w:p w14:paraId="51C0AED4">
      <w:pPr>
        <w:spacing w:after="160" w:line="312" w:lineRule="auto"/>
        <w:ind w:firstLine="360"/>
        <w:rPr>
          <w:rFonts w:hint="eastAsia"/>
          <w:lang w:eastAsia="zh-CN"/>
        </w:rPr>
      </w:pPr>
      <w:r>
        <w:rPr>
          <w:b/>
        </w:rPr>
        <w:t>【特色一：以对话和学习行为驱动的动态画像。】</w:t>
      </w:r>
      <w:r>
        <w:t>系统将聊天兴趣、测验结果、闪卡自评和学习节奏汇入画像，覆盖知识基础、学习目标、薄弱点、资源偏好、正确率、易错模式、兴趣与下一步建议等多维信息，满足赛题“不少于 6 个维度、随学随新”的目标。</w:t>
        <w:br/>
      </w:r>
      <w:r>
        <w:rPr>
          <w:b/>
        </w:rPr>
        <w:t>【特色二：可讲述的职责型多 Agent 协同。】</w:t>
      </w:r>
      <w:r>
        <w:t>Supervisor 负责任务分流，Profile、Retrieval、Tutor、Resource、Safety 与 WebSearch 分别承担画像、证据检索、辅导、资源生成、安全与网页资料补充；当前 V1 由后端模块隐式调度，并在前端以阶段化工作提示呈现协同过程。</w:t>
        <w:br/>
      </w:r>
      <w:r>
        <w:rPr>
          <w:b/>
        </w:rPr>
        <w:t>【特色三：一库多用的多模态资源生成。】</w:t>
      </w:r>
      <w:r>
        <w:t>同一来源底座可生成概要、抽认卡、测验、思维导图、问答卡片、拓展阅读与演示文稿等不少于 5 类资源，降低重复整理成本。</w:t>
        <w:br/>
      </w:r>
      <w:r>
        <w:rPr>
          <w:b/>
        </w:rPr>
        <w:t>【特色四：证据优先与防幻觉。】</w:t>
      </w:r>
      <w:r>
        <w:t>问答和资源生成优先使用已导入来源片段，回答附带引用；来源不足时明确区分通用解释，形成“可追溯而非只会生成”的学习体验。</w:t>
      </w:r>
    </w:p>
    <w:p w14:paraId="7E247D51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5" w:name="_Toc13888"/>
      <w:r>
        <w:rPr>
          <w:rFonts w:hint="eastAsia"/>
          <w:lang w:eastAsia="zh-CN"/>
        </w:rPr>
        <w:t>第二章：</w:t>
      </w:r>
      <w:r>
        <w:t>可行性分析</w:t>
      </w:r>
      <w:bookmarkEnd w:id="5"/>
    </w:p>
    <w:p w14:paraId="3428378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6" w:name="_Toc6412"/>
      <w:r>
        <w:rPr>
          <w:rFonts w:hint="eastAsia"/>
          <w:lang w:eastAsia="zh-CN"/>
        </w:rPr>
        <w:t xml:space="preserve">2.1 </w:t>
      </w:r>
      <w:r>
        <w:t>技术可行性分析</w:t>
      </w:r>
      <w:bookmarkEnd w:id="6"/>
    </w:p>
    <w:p w14:paraId="5D6519BF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bookmarkStart w:id="7" w:name="_Toc27843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NetNote 系统建立在高度成熟、稳健且符合前沿 AI 交互规范的技术栈之上。前端彻底拥抱现代化全栈框架，采用 Next.js 16 App Router + React 19 + TypeScript + Tailwind CSS 的高级工程架构。这一组合不仅极佳地支撑了“左侧多源卡片导入、中部流式防幻觉对话、右侧多模态自适应 Studio 卡片”的黄金三栏布局，而且：</w:t>
      </w:r>
    </w:p>
    <w:p w14:paraId="39C17C5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1) 通过 Next.js 16 强大的服务端渲染（SSR）与分层 Layout 机制，对高密度的学术来源元数据进行预拉取和极致的静态构建，大幅缩短首屏白屏时间；</w:t>
      </w:r>
    </w:p>
    <w:p w14:paraId="22D1BCD2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2) 前端通过 React 状态和 API 请求维护来源、聊天和 Studio 数据，并为上传、导入和生成任务提供加载状态。当前未将 useActionState、useOptimistic 或固定帧率作为项目实现与性能结论。</w:t>
      </w:r>
    </w:p>
    <w:p w14:paraId="1A733B4F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后端采用 FastAPI 和 OpenAI-compatible 模型适配接口。当前 V1 使用本地 JSON 保存工作区状态，并基于来源切片、关键词、全文和元数据匹配实现轻量检索；PostgreSQL、pgvector、OCR 和显式智能体编排属于后续演进方向。</w:t>
      </w:r>
    </w:p>
    <w:p w14:paraId="1DFB211E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2.2 </w:t>
      </w:r>
      <w:r>
        <w:t>资源可行性分析</w:t>
      </w:r>
      <w:bookmarkEnd w:id="7"/>
    </w:p>
    <w:p w14:paraId="285A6CA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项目面向计算机网络课程，支持导入本地课程资料、网络来源和可获取的云大学堂课堂转写。V1 的来源切片数量随正文长度变化，不以固定的向量维度或切片数量作为运行指标。</w:t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B3DAE7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8" w:name="_Toc13944"/>
      <w:r>
        <w:rPr>
          <w:rFonts w:hint="eastAsia"/>
          <w:lang w:eastAsia="zh-CN"/>
        </w:rPr>
        <w:t xml:space="preserve">2.3 </w:t>
      </w:r>
      <w:r>
        <w:t>市场与实用价值可行性</w:t>
      </w:r>
      <w:bookmarkEnd w:id="8"/>
    </w:p>
    <w:p w14:paraId="45A5EE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全国高校学生在课程复习、资料整理、概念问答和课堂内容回看中存在一站式学习工具需求。NetNote 通过来源引用、Studio 学习资源和学习反馈降低在多个工具间切换的成本；实际学习效果需要在后续教学场景中持续评估。</w:t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29A37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43521B4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9" w:name="_Toc7996"/>
      <w:r>
        <w:rPr>
          <w:rFonts w:hint="eastAsia"/>
          <w:lang w:eastAsia="zh-CN"/>
        </w:rPr>
        <w:t>第三章：</w:t>
      </w:r>
      <w:r>
        <w:t>系统需求分析</w:t>
      </w:r>
      <w:bookmarkEnd w:id="9"/>
    </w:p>
    <w:p w14:paraId="6A322CAF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0" w:name="_Toc5629"/>
      <w:r>
        <w:rPr>
          <w:rFonts w:hint="eastAsia"/>
          <w:lang w:eastAsia="zh-CN"/>
        </w:rPr>
        <w:t xml:space="preserve">3.1 </w:t>
      </w:r>
      <w:r>
        <w:t>静态与动态数据需求</w:t>
      </w:r>
      <w:bookmarkEnd w:id="10"/>
    </w:p>
    <w:p w14:paraId="4EA1ADD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系统维护课程工作区、来源与来源片段、消息、生成物、学习画像和学习事件等状态。V1 将这些数据保存到本地 JSON 文件，上传文件保存到 uploads 目录；向量数据库和多用户持久化属于后续规划。</w:t>
      </w:r>
    </w:p>
    <w:p w14:paraId="3EF8257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1" w:name="_Toc22146"/>
      <w:r>
        <w:rPr>
          <w:rFonts w:hint="eastAsia"/>
          <w:lang w:eastAsia="zh-CN"/>
        </w:rPr>
        <w:t xml:space="preserve">3.2 </w:t>
      </w:r>
      <w:r>
        <w:t>系统数据字典</w:t>
      </w:r>
      <w:bookmarkEnd w:id="11"/>
    </w:p>
    <w:p w14:paraId="7E99FA6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V1 使用 Pydantic 数据模型约束来源、片段、消息、生成物和学习画像。表 3-1 反映当前来源对象字段；表 3-2 为后续可扩展画像字段示意，不作为 V1 已实现功能声明。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5F13E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75269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F8490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24360E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ACB96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默认值/关联键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6FC943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字段说明描述</w:t>
            </w:r>
          </w:p>
        </w:tc>
      </w:tr>
      <w:tr w14:paraId="4188D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95E9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1BA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4ADD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8A72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3DF0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上传文档的全局唯一ID</w:t>
            </w:r>
          </w:p>
        </w:tc>
      </w:tr>
      <w:tr w14:paraId="2BB6A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D7A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name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8C2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VARCHAR(255)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567A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DE2F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3235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文档真实文件名(如实验二.pdf)</w:t>
            </w:r>
          </w:p>
        </w:tc>
      </w:tr>
      <w:tr w14:paraId="48C18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2160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type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3EE7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0031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25F9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'pdf'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71E7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文档类型(pdf, docx, web, seed)</w:t>
            </w:r>
          </w:p>
        </w:tc>
      </w:tr>
      <w:tr w14:paraId="43415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28C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chunk_count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096F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D0FAE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CED6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5C49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对该文档执行分块切分后的总数量</w:t>
            </w:r>
          </w:p>
        </w:tc>
      </w:tr>
      <w:tr w14:paraId="6CD38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24A5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raw_content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1B62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D42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0641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0E1F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文件解析或网页正文抽取后的可读文本；图片 OCR 为后续规划。</w:t>
            </w:r>
          </w:p>
        </w:tc>
      </w:tr>
    </w:tbl>
    <w:p w14:paraId="29C4F4F5">
      <w:pPr>
        <w:pStyle w:val="170"/>
        <w:widowControl/>
      </w:pPr>
      <w:r>
        <w:t>表 3-1 来源文档主模型结构表 (SourceDocument Metadata Table)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643CF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2798AB4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维度字段名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99E17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64681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265431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初始/取值范围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FB0ACF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多维画像描述说明</w:t>
            </w:r>
          </w:p>
        </w:tc>
      </w:tr>
      <w:tr w14:paraId="3667F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F562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base_score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419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DECIMAL(5,2)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AA860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2068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60.0 (0.0 - 100.0)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64E8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知识基础度：反映核心原理概念的掌握水位</w:t>
            </w:r>
          </w:p>
        </w:tc>
      </w:tr>
      <w:tr w14:paraId="6CBBA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C806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cognitive_style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051F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1A5B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EB44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'visual' / 'verbal'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EF8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认知风格偏好：视觉图谱型还是文本条例型</w:t>
            </w:r>
          </w:p>
        </w:tc>
      </w:tr>
      <w:tr w14:paraId="3E0BB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9E70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error_focus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88B3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45EA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6443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 []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299C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易错点偏好：记录错题集的分布特征</w:t>
            </w:r>
          </w:p>
        </w:tc>
      </w:tr>
      <w:tr w14:paraId="47505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0840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learning_pace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2BE8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DECIMAL(3,2)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41DA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A10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1.00 (0.50 - 2.00)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0D78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进度感知度：学生日常卡片互动流速与反馈延迟</w:t>
            </w:r>
          </w:p>
        </w:tc>
      </w:tr>
      <w:tr w14:paraId="012D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71A7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completion_rate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240E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DECIMAL(5,2)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4D37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74E5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100.0 (0.0 - 100.0)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41EF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练习按时完成率：测验和闪卡周期的交互完整度</w:t>
            </w:r>
          </w:p>
        </w:tc>
      </w:tr>
      <w:tr w14:paraId="63751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F307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fatigue_value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286C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DECIMAL(4,2)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7311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2A02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0.00 (0.00 - 1.00)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DA75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交互疲劳预测：长会话提问时延及疲劳特征识别</w:t>
            </w:r>
          </w:p>
        </w:tc>
      </w:tr>
    </w:tbl>
    <w:p w14:paraId="5F7E85DE">
      <w:pPr>
        <w:pStyle w:val="170"/>
        <w:widowControl/>
      </w:pPr>
      <w:r>
        <w:t>表 3-2 后续可扩展学习画像字段示意（V2 规划）</w:t>
      </w:r>
    </w:p>
    <w:p w14:paraId="5CF73E4E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2" w:name="_Toc16074"/>
      <w:r>
        <w:rPr>
          <w:rFonts w:hint="eastAsia"/>
          <w:lang w:eastAsia="zh-CN"/>
        </w:rPr>
        <w:t xml:space="preserve">3.3 </w:t>
      </w:r>
      <w:r>
        <w:t>核心功能需求分析</w:t>
      </w:r>
      <w:bookmarkEnd w:id="12"/>
    </w:p>
    <w:p w14:paraId="51C87444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基于新时代大学生的学习诉求，本系统围绕课程资料学习实现 6 项核心功能，并将后续扩展能力与当前 V1 实现区分说明。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49E4FCB3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t>需求一：学习画像随学更新。系统通过自然语言对话捕捉学习目标与兴趣，并结合测验正确率、闪卡“会/不会/跳过”和资源使用反馈，持续更新知识基础描述、学习目标、薄弱点、资源偏好、正确率、学习节奏、易错模式、兴趣和下一步建议等 9 项画像信息。该画像维度数量超过赛题要求的 6 个维度，并为后续资源推送和学习路径调整提供依据。</w:t>
      </w:r>
    </w:p>
    <w:p w14:paraId="6BD62585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t>需求二：按职责拆分的多智能体协同资源生成。系统以 Supervisor 为任务入口，按检索（Retrieval）、辅导（Tutor）、资源生成（Resource）、画像（Profile）、安全（Safety）和网页搜索（WebSearch）等职责组织模块；各职责围绕同一来源库协作，支持概要、思维导图、测验、闪卡、问答卡片、拓展阅读和演示文稿等资源生成，覆盖赛题要求的至少 5 种个性化资源类型。</w:t>
      </w:r>
    </w:p>
    <w:p w14:paraId="7F6AED1D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t>需求三：个性化学习路径规划与资源推送。系统依据画像中的薄弱点、正确率、资源偏好和学习节奏，将“优先补弱—理解巩固—练习检测—导图串联—追问拓展”组织为可执行的下一步建议；学生完成测验或闪卡后，Profile 模块更新画像并重新排序后续资源，使路径能够随学习证据动态调整。</w:t>
      </w:r>
    </w:p>
    <w:p w14:paraId="395BF60D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需求四：网络搜索获取来源。学生可主动搜索网页候选并选择导入；系统对网页正文执行多级抽取与摘要降级，并将结果保存到统一来源库。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6615A6C2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需求五：云大学堂课堂转写与片段播放。系统可导入可获取的课堂转写，并保留课程、章节、时间和视频地址等元数据；课堂引用可打开视频或课程页面并跳转到对应片段。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22A5DB50">
      <w:pPr>
        <w:pStyle w:val="16"/>
        <w:numPr>
          <w:ilvl w:val="0"/>
          <w:numId w:val="0"/>
        </w:numPr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需求六：伴学 Studio 资源生成与演示文稿导出。Studio 支持概要、抽认卡、测验、思维导图、问答卡片、拓展阅读和演示文稿；演示文稿由前端渲染，可导出 PDF 和图片版 PPTX。</w:t>
      </w:r>
      <w:r>
        <w:rPr>
          <w:rFonts w:hint="eastAsia" w:ascii="宋体" w:hAnsi="宋体" w:eastAsia="宋体" w:cs="宋体"/>
          <w:b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5AFD11B0">
      <w:pPr>
        <w:pStyle w:val="16"/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53BBE0E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3" w:name="_Toc32732"/>
      <w:r>
        <w:rPr>
          <w:rFonts w:hint="eastAsia"/>
          <w:lang w:eastAsia="zh-CN"/>
        </w:rPr>
        <w:t xml:space="preserve">3.4 </w:t>
      </w:r>
      <w:r>
        <w:t>非功能性需求分析</w:t>
      </w:r>
      <w:bookmarkEnd w:id="13"/>
    </w:p>
    <w:p w14:paraId="15441B5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交互与展示：聊天与生成任务提供加载状态、首 Token 后的流式输出和生成进度提示；顶部 Agent 工作胶囊仅在协同任务运行期间出现，依次体现任务分析、画像读取、证据检索、内容生成与核验等阶段。聊天内容支持 Markdown、表格、代码块及 KaTeX 数学公式渲染，Studio 以卡片化形式展示多类型资源，满足赛题对流式交互、Markdown 渲染与多模态内容展示的要求。</w:t>
      </w:r>
    </w:p>
    <w:p w14:paraId="04EE77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可靠性与降级：网页正文提取失败时，系统可保留搜索摘要并标记抓取质量；模型未配置或调用失败时，可使用本地规则和来源片段生成基础演示结果，避免外部服务异常导致流程中断。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5FF05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3A047A8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4" w:name="_Toc10390"/>
      <w:r>
        <w:rPr>
          <w:rFonts w:hint="eastAsia"/>
          <w:lang w:eastAsia="zh-CN"/>
        </w:rPr>
        <w:t>第四章：</w:t>
      </w:r>
      <w:r>
        <w:t>系统概要设计</w:t>
      </w:r>
      <w:bookmarkEnd w:id="14"/>
    </w:p>
    <w:p w14:paraId="014A0C85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5" w:name="_Toc7559"/>
      <w:r>
        <w:rPr>
          <w:rFonts w:hint="eastAsia"/>
          <w:lang w:eastAsia="zh-CN"/>
        </w:rPr>
        <w:t xml:space="preserve">4.1 </w:t>
      </w:r>
      <w:r>
        <w:t>总体多端分布式架构设计</w:t>
      </w:r>
      <w:bookmarkEnd w:id="15"/>
    </w:p>
    <w:p w14:paraId="0E81808E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4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</w:rPr>
      </w:pPr>
      <w:r>
        <w:t>当前 V1 采用 Next.js 前端工作台与 FastAPI 后端服务的前后端分离架构。后端负责文件解析、网页抽取、来源切片、检索、问答、资源生成、学习反馈和基础安全处理；前端负责三栏学习工作台、流式对话、资源卡片与 Agent 阶段可视化。工作区状态保存为本地 JSON；图 4-1 为后续可演进架构示意。</w:t>
      </w:r>
    </w:p>
    <w:p w14:paraId="4CEED7B8">
      <w:pPr>
        <w:spacing w:before="80" w:after="240"/>
        <w:ind w:left="2200" w:leftChars="0" w:hanging="2200" w:hangingChars="1000"/>
        <w:jc w:val="both"/>
      </w:pPr>
      <w:r>
        <w:drawing>
          <wp:inline distT="0" distB="0" distL="114300" distR="114300">
            <wp:extent cx="4999355" cy="4999355"/>
            <wp:effectExtent l="0" t="0" r="1079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1"/>
        </w:rPr>
        <w:t xml:space="preserve">图 4-1 NetNote 后续演进架构示意</w:t>
      </w:r>
      <w:r>
        <w:rPr>
          <w:rFonts w:ascii="微软雅黑" w:hAnsi="微软雅黑"/>
          <w:b/>
          <w:color w:val="646464"/>
          <w:sz w:val="18"/>
        </w:rPr>
        <w:t xml:space="preserve"/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/>
      </w:r>
      <w:r>
        <w:rPr>
          <w:rFonts w:ascii="微软雅黑" w:hAnsi="微软雅黑"/>
          <w:b/>
          <w:color w:val="646464"/>
          <w:sz w:val="18"/>
        </w:rPr>
        <w:t/>
      </w:r>
    </w:p>
    <w:p w14:paraId="12292148">
      <w:pPr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drawing>
          <wp:inline distT="0" distB="0" distL="114300" distR="114300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60A3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6734C739">
      <w:pPr>
        <w:ind w:leftChars="0"/>
        <w:rPr>
          <w:rFonts w:hint="eastAsia"/>
          <w:lang w:eastAsia="zh-CN"/>
        </w:rPr>
      </w:pPr>
      <w:bookmarkStart w:id="16" w:name="_Toc6276"/>
      <w:r>
        <w:rPr>
          <w:rFonts w:hint="eastAsia"/>
          <w:lang w:eastAsia="zh-CN"/>
        </w:rPr>
        <w:drawing>
          <wp:inline distT="0" distB="0" distL="114300" distR="114300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2F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图4-1 操作界面</w:t>
      </w:r>
    </w:p>
    <w:p w14:paraId="02026A35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4.2 </w:t>
      </w:r>
      <w:r>
        <w:t>核心业务流转设计</w:t>
      </w:r>
      <w:bookmarkEnd w:id="16"/>
    </w:p>
    <w:p w14:paraId="6AA841F2">
      <w:pPr>
        <w:spacing w:before="0" w:after="120" w:line="276" w:lineRule="auto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sz w:val="24"/>
          <w:szCs w:val="24"/>
        </w:rPr>
        <w:t xml:space="preserve">· 1. 多源文档导入：用户上传文件、选择网络候选或导入课堂转写；后端解析可读文本并切分为来源片段，随后更新本地工作区状态。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18FBB627">
      <w:pPr>
        <w:pStyle w:val="19"/>
        <w:widowControl/>
        <w:rPr>
          <w:rFonts w:hint="eastAsia" w:ascii="宋体" w:hAnsi="宋体" w:eastAsia="宋体" w:cs="宋体"/>
          <w:sz w:val="24"/>
          <w:szCs w:val="24"/>
        </w:rPr>
      </w:pPr>
      <w:r>
        <w:t>· 2. 来源问答：Supervisor 接收问题后触发 Profile 与 Retrieval 职责。系统按关键词、全文、来源质量和元数据匹配相关片段；Tutor 模块将证据片段与问题组成上下文，返回回答和引用信息。未命中直接来源时，回答会标明通用解释，避免将缺乏证据的内容伪装为课程结论。</w:t>
      </w:r>
    </w:p>
    <w:p w14:paraId="3D809B5E">
      <w:pPr>
        <w:pStyle w:val="19"/>
        <w:widowControl/>
        <w:rPr>
          <w:rFonts w:hint="eastAsia" w:ascii="宋体" w:hAnsi="宋体" w:eastAsia="宋体" w:cs="宋体"/>
          <w:color w:val="333333"/>
          <w:sz w:val="24"/>
          <w:szCs w:val="24"/>
        </w:rPr>
      </w:pPr>
      <w:r>
        <w:t>· 3. Studio、反馈与再规划：Resource 模块基于来源和画像生成学习资源；测验和闪卡结果由 Profile 模块汇总，更新薄弱点、正确率与下一步建议；Safety 模块执行基础内容拦截；随后 Supervisor 根据新的画像建议下一项资源或复习动作。该流程把“生成一次资源”扩展为“生成—学习—评估—再推荐”的个性化闭环。图 4-3 为职责划分与后续编排示意。</w:t>
      </w:r>
    </w:p>
    <w:p w14:paraId="080CE24D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45077AA8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4CBF91D9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31CD9770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3F81DAC1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186EF72E">
      <w:pPr>
        <w:spacing w:before="80" w:after="240"/>
        <w:jc w:val="center"/>
      </w:pP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-167005</wp:posOffset>
            </wp:positionV>
            <wp:extent cx="5029200" cy="375475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646464"/>
          <w:sz w:val="18"/>
        </w:rPr>
        <w:t>图 4-</w:t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>3</w:t>
      </w:r>
      <w:r>
        <w:rPr>
          <w:rFonts w:ascii="微软雅黑" w:hAnsi="微软雅黑"/>
          <w:b/>
          <w:color w:val="646464"/>
          <w:sz w:val="18"/>
        </w:rPr>
        <w:t xml:space="preserve"> 基于多智能体协同的自适应伴学闭环流程图</w:t>
      </w:r>
    </w:p>
    <w:p w14:paraId="13D85959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0C7AE4D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7" w:name="_Toc25743"/>
      <w:r>
        <w:rPr>
          <w:rFonts w:hint="eastAsia"/>
          <w:lang w:eastAsia="zh-CN"/>
        </w:rPr>
        <w:t xml:space="preserve">4.3 </w:t>
      </w:r>
      <w:r>
        <w:t>异常/错误对策降级策略设计</w:t>
      </w:r>
      <w:bookmarkEnd w:id="17"/>
    </w:p>
    <w:p w14:paraId="78B135F7">
      <w:pPr>
        <w:pStyle w:val="19"/>
        <w:widowControl/>
        <w:rPr>
          <w:rFonts w:hint="eastAsia"/>
          <w:lang w:eastAsia="zh-CN"/>
        </w:rPr>
      </w:pPr>
      <w:r>
        <w:t>系统为网页抽取、模型调用、来源不足与不安全输入提供降级处理。网页正文提取失败时保留搜索摘要并标识抓取质量；没有检索到直接来源时，问答可继续给出通用解释并明确来源不足；Safety 模块对明显不安全关键词进行基础拦截；模型服务不可用时使用本地启发式结果完成基本演示，从而避免外部服务异常造成长时间白屏或流程中断。</w:t>
      </w:r>
    </w:p>
    <w:p w14:paraId="7CA1B51A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8" w:name="_Toc10781"/>
      <w:r>
        <w:rPr>
          <w:rFonts w:hint="eastAsia"/>
          <w:lang w:eastAsia="zh-CN"/>
        </w:rPr>
        <w:t>第五章：</w:t>
      </w:r>
      <w:r>
        <w:t>数据库详细设计</w:t>
      </w:r>
      <w:bookmarkEnd w:id="18"/>
    </w:p>
    <w:p w14:paraId="5419437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当前 V1 使用本地 JSON 文件保存工作区状态。以下数据库表和向量字段用于描述 PostgreSQL + pgvector 的 V2 演进方案，不属于 V1 已部署的物理表。</w:t>
      </w:r>
    </w:p>
    <w:p w14:paraId="63227E5A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9" w:name="_Toc31318"/>
      <w:r>
        <w:rPr>
          <w:rFonts w:hint="eastAsia"/>
          <w:lang w:eastAsia="zh-CN"/>
        </w:rPr>
        <w:t xml:space="preserve">5.1 V2 向量切片存储模型结构表（规划）</w:t>
      </w:r>
      <w:r>
        <w:t/>
      </w:r>
      <w:bookmarkEnd w:id="19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0E9AA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6083C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B7CB71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49D12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3BE026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680E6F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存储字段功能说明</w:t>
            </w:r>
          </w:p>
        </w:tc>
      </w:tr>
      <w:tr w14:paraId="77B50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1A13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62C6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A6BC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BA5C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4319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切片的全局唯一UUID</w:t>
            </w:r>
          </w:p>
        </w:tc>
      </w:tr>
      <w:tr w14:paraId="39277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D0A7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doc_id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F749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667E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FK (SourceDocument)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1759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89C2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所属的上传来源文档ID</w:t>
            </w:r>
          </w:p>
        </w:tc>
      </w:tr>
      <w:tr w14:paraId="202BB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68ED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chunk_index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86DA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8A07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D3CC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472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在所属文档中的顺序序号(第X分块)</w:t>
            </w:r>
          </w:p>
        </w:tc>
      </w:tr>
      <w:tr w14:paraId="17C76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DD71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6B11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E981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344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324E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该切片的纯文本清洗片段</w:t>
            </w:r>
          </w:p>
        </w:tc>
      </w:tr>
      <w:tr w14:paraId="6B83E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F574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embedding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0384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VECTOR(1536)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2FED0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5319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74A7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该分块对应的 1536 维 dense 语义向量空间值</w:t>
            </w:r>
          </w:p>
        </w:tc>
      </w:tr>
      <w:tr w14:paraId="5C0AC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625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similarity_score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52E3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DECIMAL(4,3)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2142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4D0B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1.000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EF5F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检索计算时匹配的召回余弦相似度分数</w:t>
            </w:r>
          </w:p>
        </w:tc>
      </w:tr>
    </w:tbl>
    <w:p w14:paraId="41CAAA71">
      <w:pPr>
        <w:pStyle w:val="170"/>
        <w:widowControl/>
      </w:pPr>
      <w:r>
        <w:t>表 5-1 Document Chunk Vector 物理结构定义</w:t>
      </w:r>
    </w:p>
    <w:p w14:paraId="5736F6EA">
      <w:pPr>
        <w:keepNext/>
        <w:spacing w:before="320" w:after="160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 V2 云大学堂课程录播视频映射结构表（规划）</w:t>
      </w:r>
    </w:p>
    <w:p w14:paraId="14B851E0">
      <w:pPr>
        <w:spacing w:after="160" w:line="312" w:lineRule="auto"/>
        <w:ind w:firstLine="360"/>
      </w:pPr>
      <w:r>
        <w:rPr>
          <w:rFonts w:ascii="微软雅黑" w:hAnsi="微软雅黑"/>
          <w:sz w:val="21"/>
        </w:rPr>
        <w:t>该表用于描述 V2 中云大学堂课程录播与转写片段的结构化存储规划。当前 V1 将课堂时间、视频地址和课程页面等信息保存在来源及片段的 metadata 中。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4AA0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6DA4FEB1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物理字段名</w:t>
            </w:r>
          </w:p>
        </w:tc>
        <w:tc>
          <w:tcPr>
            <w:tcW w:w="1584" w:type="dxa"/>
            <w:shd w:val="clear" w:color="auto" w:fill="2F5496"/>
          </w:tcPr>
          <w:p w14:paraId="2D9D8EB5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数据类型</w:t>
            </w:r>
          </w:p>
        </w:tc>
        <w:tc>
          <w:tcPr>
            <w:tcW w:w="1440" w:type="dxa"/>
            <w:shd w:val="clear" w:color="auto" w:fill="2F5496"/>
          </w:tcPr>
          <w:p w14:paraId="632B20A0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约束键值</w:t>
            </w:r>
          </w:p>
        </w:tc>
        <w:tc>
          <w:tcPr>
            <w:tcW w:w="1584" w:type="dxa"/>
            <w:shd w:val="clear" w:color="auto" w:fill="2F5496"/>
          </w:tcPr>
          <w:p w14:paraId="3069D42C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初始/默认值</w:t>
            </w:r>
          </w:p>
        </w:tc>
        <w:tc>
          <w:tcPr>
            <w:tcW w:w="3312" w:type="dxa"/>
            <w:shd w:val="clear" w:color="auto" w:fill="2F5496"/>
          </w:tcPr>
          <w:p w14:paraId="129206A2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存储字段功能说明</w:t>
            </w:r>
          </w:p>
        </w:tc>
      </w:tr>
      <w:tr w14:paraId="61682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40C7EE4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id</w:t>
            </w:r>
          </w:p>
        </w:tc>
        <w:tc>
          <w:tcPr>
            <w:tcW w:w="1584" w:type="dxa"/>
            <w:shd w:val="clear" w:color="auto" w:fill="F2F4F7"/>
          </w:tcPr>
          <w:p w14:paraId="6F812D6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VARCHAR(64)</w:t>
            </w:r>
          </w:p>
        </w:tc>
        <w:tc>
          <w:tcPr>
            <w:tcW w:w="1440" w:type="dxa"/>
            <w:shd w:val="clear" w:color="auto" w:fill="F2F4F7"/>
          </w:tcPr>
          <w:p w14:paraId="4A32FD2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PK</w:t>
            </w:r>
          </w:p>
        </w:tc>
        <w:tc>
          <w:tcPr>
            <w:tcW w:w="1584" w:type="dxa"/>
            <w:shd w:val="clear" w:color="auto" w:fill="F2F4F7"/>
          </w:tcPr>
          <w:p w14:paraId="1D4B8956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uuid_generate_v4()</w:t>
            </w:r>
          </w:p>
        </w:tc>
        <w:tc>
          <w:tcPr>
            <w:tcW w:w="3312" w:type="dxa"/>
            <w:shd w:val="clear" w:color="auto" w:fill="F2F4F7"/>
          </w:tcPr>
          <w:p w14:paraId="47FE7179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视频映射唯一索引ID</w:t>
            </w:r>
          </w:p>
        </w:tc>
      </w:tr>
      <w:tr w14:paraId="66CE6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12F15B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video_url</w:t>
            </w:r>
          </w:p>
        </w:tc>
        <w:tc>
          <w:tcPr>
            <w:tcW w:w="1584" w:type="dxa"/>
          </w:tcPr>
          <w:p w14:paraId="1EDB19C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VARCHAR(255)</w:t>
            </w:r>
          </w:p>
        </w:tc>
        <w:tc>
          <w:tcPr>
            <w:tcW w:w="1440" w:type="dxa"/>
          </w:tcPr>
          <w:p w14:paraId="42A110D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</w:tcPr>
          <w:p w14:paraId="03C1E5F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-</w:t>
            </w:r>
          </w:p>
        </w:tc>
        <w:tc>
          <w:tcPr>
            <w:tcW w:w="3312" w:type="dxa"/>
          </w:tcPr>
          <w:p w14:paraId="20146A7B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云大学堂录播视频多媒体源文件路径</w:t>
            </w:r>
          </w:p>
        </w:tc>
      </w:tr>
      <w:tr w14:paraId="4F65B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7F8E9445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start_time</w:t>
            </w:r>
          </w:p>
        </w:tc>
        <w:tc>
          <w:tcPr>
            <w:tcW w:w="1584" w:type="dxa"/>
            <w:shd w:val="clear" w:color="auto" w:fill="F2F4F7"/>
          </w:tcPr>
          <w:p w14:paraId="7A6D1B44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INT</w:t>
            </w:r>
          </w:p>
        </w:tc>
        <w:tc>
          <w:tcPr>
            <w:tcW w:w="1440" w:type="dxa"/>
            <w:shd w:val="clear" w:color="auto" w:fill="F2F4F7"/>
          </w:tcPr>
          <w:p w14:paraId="63C3486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  <w:shd w:val="clear" w:color="auto" w:fill="F2F4F7"/>
          </w:tcPr>
          <w:p w14:paraId="09A33F06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w="3312" w:type="dxa"/>
            <w:shd w:val="clear" w:color="auto" w:fill="F2F4F7"/>
          </w:tcPr>
          <w:p w14:paraId="766094D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当前字幕切片在视频中起始毫秒数(SeekTo)</w:t>
            </w:r>
          </w:p>
        </w:tc>
      </w:tr>
      <w:tr w14:paraId="13588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0877D5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end_time</w:t>
            </w:r>
          </w:p>
        </w:tc>
        <w:tc>
          <w:tcPr>
            <w:tcW w:w="1584" w:type="dxa"/>
          </w:tcPr>
          <w:p w14:paraId="684B95C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INT</w:t>
            </w:r>
          </w:p>
        </w:tc>
        <w:tc>
          <w:tcPr>
            <w:tcW w:w="1440" w:type="dxa"/>
          </w:tcPr>
          <w:p w14:paraId="6667BD3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</w:tcPr>
          <w:p w14:paraId="2DE1F8D0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w="3312" w:type="dxa"/>
          </w:tcPr>
          <w:p w14:paraId="07F38EC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当前字幕切片在视频中的结束毫秒数</w:t>
            </w:r>
          </w:p>
        </w:tc>
      </w:tr>
      <w:tr w14:paraId="167E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7EE6F4B9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related_chunk_id</w:t>
            </w:r>
          </w:p>
        </w:tc>
        <w:tc>
          <w:tcPr>
            <w:tcW w:w="1584" w:type="dxa"/>
            <w:shd w:val="clear" w:color="auto" w:fill="F2F4F7"/>
          </w:tcPr>
          <w:p w14:paraId="36179612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VARCHAR(64)</w:t>
            </w:r>
          </w:p>
        </w:tc>
        <w:tc>
          <w:tcPr>
            <w:tcW w:w="1440" w:type="dxa"/>
            <w:shd w:val="clear" w:color="auto" w:fill="F2F4F7"/>
          </w:tcPr>
          <w:p w14:paraId="032E372F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FK (DocumentChunk)</w:t>
            </w:r>
          </w:p>
        </w:tc>
        <w:tc>
          <w:tcPr>
            <w:tcW w:w="1584" w:type="dxa"/>
            <w:shd w:val="clear" w:color="auto" w:fill="F2F4F7"/>
          </w:tcPr>
          <w:p w14:paraId="3D30A23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3312" w:type="dxa"/>
            <w:shd w:val="clear" w:color="auto" w:fill="F2F4F7"/>
          </w:tcPr>
          <w:p w14:paraId="7F674A8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对应底座向量表中的切片索引关联外键</w:t>
            </w:r>
          </w:p>
        </w:tc>
      </w:tr>
    </w:tbl>
    <w:p w14:paraId="1DAB95AC">
      <w:pPr>
        <w:jc w:val="center"/>
      </w:pPr>
      <w:r>
        <w:rPr>
          <w:color w:val="808080"/>
          <w:sz w:val="18"/>
        </w:rPr>
        <w:t>表 5-</w:t>
      </w:r>
      <w:r>
        <w:rPr>
          <w:rFonts w:hint="eastAsia"/>
          <w:color w:val="808080"/>
          <w:sz w:val="18"/>
          <w:lang w:val="en-US" w:eastAsia="zh-CN"/>
        </w:rPr>
        <w:t>2</w:t>
      </w:r>
      <w:r>
        <w:rPr>
          <w:color w:val="808080"/>
          <w:sz w:val="18"/>
        </w:rPr>
        <w:t xml:space="preserve"> 云大学堂课程录播视频映射存储物理结构表</w:t>
      </w:r>
    </w:p>
    <w:p w14:paraId="27FC39D3"/>
    <w:p w14:paraId="4041F3A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0" w:name="_Toc3377"/>
      <w:r>
        <w:rPr>
          <w:rFonts w:hint="eastAsia"/>
          <w:lang w:eastAsia="zh-CN"/>
        </w:rPr>
        <w:t>5.3 V2 Studio 伴学物料生成模型结构表（规划）</w:t>
      </w:r>
      <w:r>
        <w:rPr>
          <w:rFonts w:hint="eastAsia"/>
          <w:lang w:val="en-US" w:eastAsia="zh-CN"/>
        </w:rPr>
        <w:t/>
      </w:r>
      <w:r>
        <w:t/>
      </w:r>
      <w:bookmarkEnd w:id="20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27CDD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6C505B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ACB0E2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4B75E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AF7A5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3285B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伴学物料字段功能说明</w:t>
            </w:r>
          </w:p>
        </w:tc>
      </w:tr>
      <w:tr w14:paraId="2AAE4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6734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33FF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51B5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A350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E7CB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生成物料卡片的唯一标识ID</w:t>
            </w:r>
          </w:p>
        </w:tc>
      </w:tr>
      <w:tr w14:paraId="163A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48B9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resource_type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5B16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VARCHAR(32)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6861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81D9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'quiz' / 'flashcard'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E0ED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物料细分类别(概要/测验/闪卡/思维导图等)</w:t>
            </w:r>
          </w:p>
        </w:tc>
      </w:tr>
      <w:tr w14:paraId="2E5F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C03F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source_doc_ids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9A4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VARCHAR(64)[]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BE2E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0EBB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40E0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用于该次生成所依赖的多源文档ID数组</w:t>
            </w:r>
          </w:p>
        </w:tc>
      </w:tr>
      <w:tr w14:paraId="6E172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8D98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json_content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558E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0464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4EE4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7134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物料具体大模型格式化生成的实体JSON(如思维导图树)</w:t>
            </w:r>
          </w:p>
        </w:tc>
      </w:tr>
      <w:tr w14:paraId="4C3BC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169B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creation_time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F22E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E74A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FF29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now()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54F1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物料生成的时戳记录</w:t>
            </w:r>
          </w:p>
        </w:tc>
      </w:tr>
    </w:tbl>
    <w:p w14:paraId="66DA2CBC">
      <w:pPr>
        <w:pStyle w:val="170"/>
        <w:widowControl/>
      </w:pPr>
      <w:r>
        <w:t>表 5-</w:t>
      </w:r>
      <w:r>
        <w:rPr>
          <w:rFonts w:hint="eastAsia"/>
          <w:lang w:val="en-US" w:eastAsia="zh-CN"/>
        </w:rPr>
        <w:t>3</w:t>
      </w:r>
      <w:r>
        <w:t xml:space="preserve"> Studio Resource 物料卡片存储物理定义</w:t>
      </w:r>
    </w:p>
    <w:p w14:paraId="656B521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1" w:name="_Toc22402"/>
      <w:r>
        <w:rPr>
          <w:rFonts w:hint="eastAsia"/>
          <w:lang w:eastAsia="zh-CN"/>
        </w:rPr>
        <w:t>5.4 V2 溯源会话消息模型结构表（规划）</w:t>
      </w:r>
      <w:r>
        <w:rPr>
          <w:rFonts w:hint="eastAsia"/>
          <w:lang w:val="en-US" w:eastAsia="zh-CN"/>
        </w:rPr>
        <w:t/>
      </w:r>
      <w:r>
        <w:t/>
      </w:r>
      <w:bookmarkEnd w:id="21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0A810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F7313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21C89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423040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8A944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166AB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会话及溯源字段说明描述</w:t>
            </w:r>
          </w:p>
        </w:tc>
      </w:tr>
      <w:tr w14:paraId="7D532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3742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message_id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AE50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B3DA7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D71A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E3CA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单条聊天消息全局唯一ID</w:t>
            </w:r>
          </w:p>
        </w:tc>
      </w:tr>
      <w:tr w14:paraId="472C6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C8FF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role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AF2F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VARCHAR(16)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3F404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FFFB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'user' / 'assistant'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7EED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消息发送角色(用户/大模型AI助手)</w:t>
            </w:r>
          </w:p>
        </w:tc>
      </w:tr>
      <w:tr w14:paraId="75E8B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E038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raw_text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D294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39DDD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2D41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70C4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流式Markdown原文本(可包含特殊引用上标)</w:t>
            </w:r>
          </w:p>
        </w:tc>
      </w:tr>
      <w:tr w14:paraId="02C51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5750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source_references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4802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EF7F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3F5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3F2E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消息所引用的 Chunk ID 数组及匹配文本</w:t>
            </w:r>
          </w:p>
        </w:tc>
      </w:tr>
      <w:tr w14:paraId="632B6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5FB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send_time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0B85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0206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B5DD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now()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509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消息交互产生的绝对时戳</w:t>
            </w:r>
          </w:p>
        </w:tc>
      </w:tr>
    </w:tbl>
    <w:p w14:paraId="7520D7C4">
      <w:pPr>
        <w:pStyle w:val="170"/>
        <w:widowControl/>
      </w:pPr>
      <w:r>
        <w:t>表 5-</w:t>
      </w:r>
      <w:r>
        <w:rPr>
          <w:rFonts w:hint="eastAsia"/>
          <w:lang w:val="en-US" w:eastAsia="zh-CN"/>
        </w:rPr>
        <w:t xml:space="preserve">4 </w:t>
      </w:r>
      <w:r>
        <w:t>Chat Message Reference 会话存储定义</w:t>
      </w:r>
      <w:bookmarkStart w:id="22" w:name="_Toc1944"/>
    </w:p>
    <w:p w14:paraId="6EB2A293"/>
    <w:p w14:paraId="3680DE34">
      <w:pPr>
        <w:pStyle w:val="170"/>
        <w:widowControl/>
        <w:jc w:val="both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第六章：</w:t>
      </w:r>
      <w:r>
        <w:rPr>
          <w:sz w:val="32"/>
          <w:szCs w:val="32"/>
        </w:rPr>
        <w:t>详细设计与功能实现</w:t>
      </w:r>
      <w:bookmarkEnd w:id="22"/>
    </w:p>
    <w:p w14:paraId="1FF3581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3" w:name="_Toc17191"/>
      <w:r>
        <w:rPr>
          <w:rFonts w:hint="eastAsia"/>
          <w:lang w:eastAsia="zh-CN"/>
        </w:rPr>
        <w:t xml:space="preserve">6.1 文件解析与 OCR 扩展规划</w:t>
      </w:r>
      <w:r>
        <w:t/>
      </w:r>
      <w:bookmarkEnd w:id="23"/>
    </w:p>
    <w:p w14:paraId="148F0511">
      <w:pPr>
        <w:pStyle w:val="19"/>
        <w:widowControl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>V1 的多源文档解析由 backend/app/parsers.py 调度：PDF 使用 pdfplumber，DOCX 使用 python-docx，PPTX 使用 python-pptx，TXT 和 Markdown 直接读取。图片来源当前只登记 OCR 管线入口，PaddleOCR 属于后续扩展规划。图 6-1 为后续处理流程示意。</w:t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4C31C04B">
      <w:pPr>
        <w:spacing w:before="80" w:after="240"/>
        <w:jc w:val="center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661660" cy="3160395"/>
            <wp:effectExtent l="0" t="0" r="152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 xml:space="preserve">     </w:t>
      </w:r>
      <w:r>
        <w:rPr>
          <w:rFonts w:ascii="微软雅黑" w:hAnsi="微软雅黑"/>
          <w:b/>
          <w:color w:val="646464"/>
          <w:sz w:val="18"/>
        </w:rPr>
        <w:t xml:space="preserve">图 </w:t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>6</w:t>
      </w:r>
      <w:r>
        <w:rPr>
          <w:rFonts w:ascii="微软雅黑" w:hAnsi="微软雅黑"/>
          <w:b/>
          <w:color w:val="646464"/>
          <w:sz w:val="18"/>
        </w:rPr>
        <w:t>-1 多模态来源解析与高维向量切片处理数据流向图</w:t>
      </w:r>
    </w:p>
    <w:p w14:paraId="0A65BED7">
      <w:pPr>
        <w:pStyle w:val="4"/>
        <w:keepNext/>
        <w:spacing w:before="240" w:after="12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_Toc560"/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网页来源搜索与多模态数据清洗导入模块</w:t>
      </w:r>
    </w:p>
    <w:p w14:paraId="0F649526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在 NetNote 来源面板中，我们设计了添加来源时的网络检索机制。当学生遇到本地种子库或文档未覆盖的学科领域（如“最新无线网桥标准”）时，学生可以在“添加来源”面板输入检索词或直接粘贴外部博客/文档的完整网页 URL。</w:t>
      </w:r>
    </w:p>
    <w:p w14:paraId="5FA7872D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1. 后端网页正文抽取：导入网页时优先尝试 Jina Reader，再使用 Trafilatura，最后使用 HTML 清洗或搜索摘要作为降级结果。</w: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7B7B9924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Google Sans Text" w:cs="宋体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2. 文件与网页文本处理：系统针对不同来源提取可读文本，网页正文长度不足时保留摘要并标记抓取质量；不宣称 OCR、正文抽取或检索结果绝对准确。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 xml:space="preserve"/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  <w:r>
        <w:rPr>
          <w:rFonts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hint="default"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eastAsia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/>
      </w:r>
    </w:p>
    <w:p w14:paraId="7E4B4628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 xml:space="preserve">3. 来源切片与状态更新：文本按约 720 字符切片，并保留约 120 字符重叠；切片数量随正文长度变化。前端通过 React 状态和 API 请求刷新来源列表。</w: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2038985</wp:posOffset>
            </wp:positionH>
            <wp:positionV relativeFrom="page">
              <wp:posOffset>4523740</wp:posOffset>
            </wp:positionV>
            <wp:extent cx="3314065" cy="1907540"/>
            <wp:effectExtent l="0" t="0" r="635" b="16510"/>
            <wp:wrapTopAndBottom/>
            <wp:docPr id="14" name="图片 14" descr="屏幕截图 2026-07-15 21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7-15 2113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hint="default"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721B8371">
      <w:pPr>
        <w:spacing w:before="0" w:after="120" w:line="276" w:lineRule="auto"/>
        <w:ind w:firstLine="480" w:firstLineChars="2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-165735</wp:posOffset>
            </wp:positionH>
            <wp:positionV relativeFrom="page">
              <wp:posOffset>2108835</wp:posOffset>
            </wp:positionV>
            <wp:extent cx="2210435" cy="4288155"/>
            <wp:effectExtent l="0" t="0" r="18415" b="17145"/>
            <wp:wrapTopAndBottom/>
            <wp:docPr id="13" name="图片 13" descr="屏幕截图 2026-07-15 2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2112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图6-1 网络来源搜索                   图6-2 搜索到的来源之一</w:t>
      </w:r>
    </w:p>
    <w:p w14:paraId="18A62B03">
      <w:pPr>
        <w:spacing w:before="0" w:after="120" w:line="276" w:lineRule="auto"/>
        <w:rPr>
          <w:rFonts w:hint="eastAsia" w:ascii="宋体" w:hAnsi="宋体" w:eastAsia="宋体" w:cs="宋体"/>
          <w:color w:val="333333"/>
          <w:sz w:val="24"/>
          <w:szCs w:val="24"/>
        </w:rPr>
      </w:pPr>
    </w:p>
    <w:p w14:paraId="7FFF0AFE">
      <w:pPr>
        <w:pStyle w:val="4"/>
        <w:keepNext/>
        <w:spacing w:before="240" w:after="120"/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黑体" w:hAnsi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云大学堂导入与录播视频时间戳精准跳转播放模块</w:t>
      </w:r>
    </w:p>
    <w:p w14:paraId="01676C7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云大学堂导入将课堂转写内容与课程元数据纳入统一来源库，便于将问答引用与课程片段关联。</w:t>
      </w:r>
    </w:p>
    <w:p w14:paraId="00C27984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系统可通过认证信息或 Cookie 建立云大学堂会话，查询课程并导入可获取的课堂转写。转写片段保存 start_time、end_time、start_seconds、end_seconds、video_url 和 source_url 等元数据。</w:t>
      </w:r>
    </w:p>
    <w:p w14:paraId="3193ABE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当问答引用命中课堂转写片段时，聊天区将展示可打开的课堂引用卡片。</w:t>
      </w:r>
    </w:p>
    <w:p w14:paraId="092D05F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引用卡片使用浏览器原生 video 元素或课程 iframe 打开内容，并根据 start_seconds 跳转到对应时间段播放；该能力依赖课程页面和视频地址的可访问性。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0DFA3203">
      <w:pPr>
        <w:spacing w:before="0" w:after="120" w:line="276" w:lineRule="auto"/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</w:pPr>
    </w:p>
    <w:p w14:paraId="18D31705">
      <w:pPr>
        <w:spacing w:before="0" w:after="120" w:line="276" w:lineRule="auto"/>
        <w:ind w:left="0" w:leftChars="0" w:firstLine="0" w:firstLineChars="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51435</wp:posOffset>
            </wp:positionH>
            <wp:positionV relativeFrom="page">
              <wp:posOffset>3575050</wp:posOffset>
            </wp:positionV>
            <wp:extent cx="2506345" cy="3166745"/>
            <wp:effectExtent l="0" t="0" r="8255" b="14605"/>
            <wp:wrapTopAndBottom/>
            <wp:docPr id="15" name="图片 15" descr="屏幕截图 2026-07-15 2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2050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2770505</wp:posOffset>
            </wp:positionH>
            <wp:positionV relativeFrom="paragraph">
              <wp:posOffset>232410</wp:posOffset>
            </wp:positionV>
            <wp:extent cx="2331085" cy="3250565"/>
            <wp:effectExtent l="0" t="0" r="12065" b="6985"/>
            <wp:wrapTopAndBottom/>
            <wp:docPr id="16" name="图片 16" descr="屏幕截图 2026-07-15 21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2108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"/>
          <w:woUserID w:val="1"/>
        </w:rPr>
        <w:t xml:space="preserve">      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图6-3选择云大学堂              图6-4输入目标课程并转写</w:t>
      </w:r>
    </w:p>
    <w:p w14:paraId="768E11C9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784FBC38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bookmarkStart w:id="36" w:name="_GoBack"/>
      <w:bookmarkEnd w:id="36"/>
    </w:p>
    <w:p w14:paraId="6D94FF97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6F1784A9">
      <w:pPr>
        <w:spacing w:before="0" w:after="120" w:line="276" w:lineRule="auto"/>
        <w:ind w:left="0" w:leftChars="0" w:firstLine="0" w:firstLineChars="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202AFF08">
      <w:pPr>
        <w:spacing w:before="0" w:after="120" w:line="276" w:lineRule="auto"/>
        <w:ind w:firstLine="2880" w:firstLineChars="12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1676400</wp:posOffset>
            </wp:positionH>
            <wp:positionV relativeFrom="page">
              <wp:posOffset>844550</wp:posOffset>
            </wp:positionV>
            <wp:extent cx="2581910" cy="7392670"/>
            <wp:effectExtent l="0" t="0" r="8890" b="13970"/>
            <wp:wrapTopAndBottom/>
            <wp:docPr id="17" name="图片 17" descr="屏幕截图 2026-07-15 21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2114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图6-5 转写后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教师课堂原音解释</w:t>
      </w:r>
    </w:p>
    <w:p w14:paraId="72C1A2C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>6.4 来源问答与 HTTP 流式输出模块</w:t>
      </w:r>
      <w:r>
        <w:rPr>
          <w:rFonts w:hint="eastAsia"/>
          <w:lang w:val="en-US" w:eastAsia="zh-CN"/>
        </w:rPr>
        <w:t/>
      </w:r>
      <w:r>
        <w:rPr>
          <w:rFonts w:hint="eastAsia"/>
          <w:lang w:eastAsia="zh-CN"/>
        </w:rPr>
        <w:t xml:space="preserve"/>
      </w:r>
      <w:r>
        <w:t/>
      </w:r>
      <w:bookmarkEnd w:id="24"/>
    </w:p>
    <w:p w14:paraId="3BC2A236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t>用户提问后，Supervisor 进入任务分析，Retrieval 模块从 ready 状态来源中检索关键词、全文和元数据匹配的片段，并对来源质量进行加权；Tutor 模块将相关片段与问题组成模型上下文，返回回答和来源引用。后端使用 HTTP 流式响应逐段返回文本，前端在首 Token 到达后切换至内容生成提示；未命中直接来源时，会明确说明回答属于通用解释。</w:t>
      </w:r>
    </w:p>
    <w:p w14:paraId="41F82D68">
      <w:pPr>
        <w:pStyle w:val="4"/>
        <w:keepNext/>
        <w:numPr>
          <w:ilvl w:val="0"/>
          <w:numId w:val="0"/>
        </w:numPr>
        <w:ind w:leftChars="0"/>
        <w:rPr>
          <w:rFonts w:hint="default" w:eastAsia="黑体"/>
          <w:b w:val="0"/>
          <w:lang w:val="en-US" w:eastAsia="zh-CN"/>
        </w:rPr>
      </w:pPr>
      <w:bookmarkStart w:id="25" w:name="_Toc12389"/>
      <w:r>
        <w:rPr>
          <w:rFonts w:hint="eastAsia"/>
          <w:lang w:eastAsia="zh-CN"/>
        </w:rPr>
        <w:t>6.5 学习画像与学习建议模块</w:t>
      </w:r>
      <w:r>
        <w:rPr>
          <w:rFonts w:hint="eastAsia"/>
          <w:lang w:val="en-US" w:eastAsia="zh-CN"/>
        </w:rPr>
        <w:t/>
      </w:r>
      <w:r>
        <w:rPr>
          <w:rFonts w:hint="eastAsia"/>
          <w:lang w:eastAsia="zh-CN"/>
        </w:rPr>
        <w:t xml:space="preserve"/>
      </w:r>
      <w:r>
        <w:t/>
      </w:r>
      <w:bookmarkEnd w:id="25"/>
    </w:p>
    <w:p w14:paraId="58ACD73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学习画像包含知识基础描述、学习目标、薄弱点、资源偏好、正确率、学习节奏、易错模式、兴趣和下一步建议等 9 个维度。该设计以可解释字段承接对话和学习行为，不依赖学生一次性填写冗长问卷；聊天、测验和闪卡反馈均可更新其中的相关字段。</w:t>
      </w:r>
    </w:p>
    <w:p w14:paraId="786355D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闪卡复习记录“会 / 不会 / 跳过”。“不会”会将对应主题加入或前置到薄弱点；测验提交后会更新正确率并记录错题主题。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-CN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DD4D684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t>学习建议以“定位薄弱点—完成针对性闪卡—进行测验检测—展开导图建立关联—回到聊天追问”的顺序组织，并根据测验错题主题、闪卡自评与资源偏好调整下一步的资源类型和学习顺序。</w:t>
      </w:r>
    </w:p>
    <w:p w14:paraId="07580A4F">
      <w:pPr>
        <w:pStyle w:val="19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V1 不包含固定分值加减、遗忘曲线调度或疲劳预测模型。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489AAE91">
      <w:pPr>
        <w:pStyle w:val="19"/>
        <w:widowControl/>
        <w:numPr>
          <w:ilvl w:val="0"/>
          <w:numId w:val="0"/>
        </w:numPr>
        <w:ind w:left="0" w:leftChars="0" w:firstLine="480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上述学习反馈用于生成下一步建议，后续可再引入更精细的间隔重复策略。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4E59A508">
      <w:pPr>
        <w:pStyle w:val="19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3E08EA85">
      <w:pPr>
        <w:pStyle w:val="19"/>
        <w:widowControl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sz w:val="28"/>
          <w:szCs w:val="28"/>
        </w:rPr>
      </w:pPr>
      <w:bookmarkStart w:id="26" w:name="_Toc25222"/>
      <w:r>
        <w:rPr>
          <w:rFonts w:hint="eastAsia" w:ascii="黑体" w:hAnsi="黑体" w:eastAsia="黑体" w:cs="黑体"/>
          <w:sz w:val="28"/>
          <w:szCs w:val="28"/>
          <w:lang w:eastAsia="zh-CN"/>
        </w:rPr>
        <w:t>6.6 自研交互式思维导图模块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/>
      </w:r>
      <w:r>
        <w:rPr>
          <w:rFonts w:hint="eastAsia" w:ascii="黑体" w:hAnsi="黑体" w:eastAsia="黑体" w:cs="黑体"/>
          <w:sz w:val="28"/>
          <w:szCs w:val="28"/>
          <w:lang w:eastAsia="zh-CN"/>
        </w:rPr>
        <w:t xml:space="preserve"/>
      </w:r>
      <w:r>
        <w:rPr>
          <w:rFonts w:hint="eastAsia" w:ascii="黑体" w:hAnsi="黑体" w:eastAsia="黑体" w:cs="黑体"/>
          <w:sz w:val="28"/>
          <w:szCs w:val="28"/>
        </w:rPr>
        <w:t/>
      </w:r>
      <w:bookmarkEnd w:id="26"/>
    </w:p>
    <w:p w14:paraId="7CF37E1E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思维导图由资源生成模块输出树状 JSON，前端以自研 SVG 连线和 HTML 节点布局呈现。用户可展开或收起分支、缩放画布、下载 Markdown，并点击节点向聊天区发起基于来源的追问。</w:t>
      </w:r>
      <w:r>
        <w:rPr>
          <w:rFonts w:hint="eastAsia" w:cs="Times New Roman"/>
          <w:color w:val="333333"/>
          <w:sz w:val="24"/>
          <w:szCs w:val="24"/>
          <w:lang w:eastAsia="zh-CN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790841BD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83820</wp:posOffset>
            </wp:positionH>
            <wp:positionV relativeFrom="page">
              <wp:posOffset>734695</wp:posOffset>
            </wp:positionV>
            <wp:extent cx="2642235" cy="3994785"/>
            <wp:effectExtent l="0" t="0" r="9525" b="13335"/>
            <wp:wrapTopAndBottom/>
            <wp:docPr id="9" name="图片 9" descr="443cd7a2bee1c96df95253e7c82ad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3cd7a2bee1c96df95253e7c82ad9f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2804795</wp:posOffset>
            </wp:positionH>
            <wp:positionV relativeFrom="page">
              <wp:posOffset>765810</wp:posOffset>
            </wp:positionV>
            <wp:extent cx="2678430" cy="4006215"/>
            <wp:effectExtent l="0" t="0" r="3810" b="1905"/>
            <wp:wrapTopAndBottom/>
            <wp:docPr id="6" name="图片 6" descr="f1ab14e6498da119606c48c857115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1ab14e6498da119606c48c8571156f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>图6-6                                     图6-7</w:t>
      </w:r>
    </w:p>
    <w:p w14:paraId="7F5A2BB7">
      <w:pPr>
        <w:pStyle w:val="19"/>
        <w:widowControl/>
        <w:ind w:left="0" w:leftChars="0" w:firstLine="3840" w:firstLineChars="1600"/>
        <w:rPr>
          <w:rFonts w:hint="default" w:cs="Times New Roman"/>
          <w:color w:val="333333"/>
          <w:sz w:val="24"/>
          <w:szCs w:val="24"/>
          <w:lang w:val="en-US" w:eastAsia="zh-CN"/>
        </w:rPr>
      </w:pPr>
      <w:r>
        <w:rPr>
          <w:rFonts w:hint="eastAsia" w:cs="Times New Roman"/>
          <w:color w:val="333333"/>
          <w:sz w:val="24"/>
          <w:szCs w:val="24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1680210</wp:posOffset>
            </wp:positionH>
            <wp:positionV relativeFrom="page">
              <wp:posOffset>5229860</wp:posOffset>
            </wp:positionV>
            <wp:extent cx="2125980" cy="3523615"/>
            <wp:effectExtent l="0" t="0" r="7620" b="12065"/>
            <wp:wrapTopAndBottom/>
            <wp:docPr id="19" name="图片 19" descr="屏幕截图 2026-07-15 21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2116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>图6-8</w:t>
      </w:r>
    </w:p>
    <w:p w14:paraId="32183BAC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</w:p>
    <w:p w14:paraId="5ABF0536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</w:p>
    <w:p w14:paraId="4497A5C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6.7 演示文稿生成与浏览器端导出模块</w:t>
      </w:r>
    </w:p>
    <w:p w14:paraId="4BF404D9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Studio 可根据当前来源生成结构化演示文稿，并在前端以分页预览呈现。演示文稿支持封面、要点、时间线、双栏比较、问答和总结等布局。</w:t>
      </w:r>
    </w:p>
    <w:p w14:paraId="431965F1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1. 内容生成：Resource 模块优先基于已导入来源与学习主题生成幻灯片 JSON；模型不可用时可使用来源关键词和预设结构生成基础讲义。</w:t>
      </w:r>
    </w:p>
    <w:p w14:paraId="4C8788A2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240" w:firstLineChars="1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2. 前端预览：Next.js 前端提供单页查看、缩略图导航和播放式展开，不将演示文稿数据写入 PostgreSQL。</w:t>
      </w:r>
    </w:p>
    <w:p w14:paraId="3CE50165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3. 文档导出：前端支持 PDF 导出，并保留来源和学习主题相关内容用于讲义展示。</w:t>
      </w:r>
    </w:p>
    <w:p w14:paraId="47FC206B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4. PPTX 导出：浏览器端使用 PptxGenJS 将渲染页面作为图片写入 PPTX。导出文件适合展示和提交，不承诺文字可编辑，也不依赖后端 python-pptx 服务。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" w:bidi="ar"/>
          <w:woUserID w:val="1"/>
        </w:rPr>
        <w:t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</w:p>
    <w:p w14:paraId="08760C25">
      <w:pPr>
        <w:ind w:firstLine="4080" w:firstLineChars="17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1417320</wp:posOffset>
            </wp:positionH>
            <wp:positionV relativeFrom="page">
              <wp:posOffset>743585</wp:posOffset>
            </wp:positionV>
            <wp:extent cx="2830830" cy="8028305"/>
            <wp:effectExtent l="0" t="0" r="3810" b="3175"/>
            <wp:wrapTopAndBottom/>
            <wp:docPr id="18" name="图片 18" descr="屏幕截图 2026-07-15 2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2116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图6-9</w:t>
      </w:r>
    </w:p>
    <w:p w14:paraId="08B087D9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27" w:name="_Toc22996"/>
      <w:r>
        <w:rPr>
          <w:rFonts w:hint="eastAsia"/>
          <w:lang w:eastAsia="zh-CN"/>
        </w:rPr>
        <w:t>第七章：</w:t>
      </w:r>
      <w:r>
        <w:t>系统测试与验证报告</w:t>
      </w:r>
      <w:bookmarkEnd w:id="27"/>
    </w:p>
    <w:p w14:paraId="351A6309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8" w:name="_Toc16138"/>
      <w:r>
        <w:rPr>
          <w:rFonts w:hint="eastAsia"/>
          <w:lang w:eastAsia="zh-CN"/>
        </w:rPr>
        <w:t xml:space="preserve">7.1 </w:t>
      </w:r>
      <w:r>
        <w:t>测试环境配置</w:t>
      </w:r>
      <w:bookmarkEnd w:id="28"/>
    </w:p>
    <w:p w14:paraId="5FEC68F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bookmarkStart w:id="29" w:name="_Toc4467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验证环境：Windows 本地开发环境；前端使用 Node.js、Next.js 和 npm，后端使用 Python、FastAPI 与 requirements.txt 中的依赖。</w:t>
      </w:r>
    </w:p>
    <w:p w14:paraId="7F3DBA2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验证方法：执行 python -m compileall backend\app、npm run lint、npm run build，并进行核心接口与页面流程人工联调。</w:t>
      </w:r>
    </w:p>
    <w:p w14:paraId="77FEEDBB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本项目未进行 GPU 压测、Android 原生打包测试或大规模并发压测，因此不声明固定性能指标。</w:t>
      </w:r>
    </w:p>
    <w:p w14:paraId="06EC0984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7.2 </w:t>
      </w:r>
      <w:r>
        <w:t>核心系统功能测试用例走查矩阵</w:t>
      </w:r>
      <w:bookmarkEnd w:id="29"/>
    </w:p>
    <w:p w14:paraId="4098AF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测试以当前 V1 已实现功能为范围，重点验证来源导入、网页导入、来源问答、Studio 生成、学习反馈、课堂转写和演示文稿导出等流程。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8"/>
        <w:gridCol w:w="1488"/>
        <w:gridCol w:w="1488"/>
        <w:gridCol w:w="1488"/>
        <w:gridCol w:w="1488"/>
      </w:tblGrid>
      <w:tr w14:paraId="4238E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ACBCC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用例ID</w:t>
            </w:r>
          </w:p>
        </w:tc>
        <w:tc>
          <w:tcPr>
            <w:tcW w:w="187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CF0EA6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测试核心模块</w:t>
            </w:r>
          </w:p>
        </w:tc>
        <w:tc>
          <w:tcPr>
            <w:tcW w:w="230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ACE24E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测试输入与执行路径</w:t>
            </w:r>
          </w:p>
        </w:tc>
        <w:tc>
          <w:tcPr>
            <w:tcW w:w="230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ACCB2D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预期正确结果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A298A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实测结果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377A2C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通过状态</w:t>
            </w:r>
          </w:p>
        </w:tc>
      </w:tr>
      <w:tr w14:paraId="568E2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CE6A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TC-IMP-01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ED55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文件来源导入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C4CE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上传 PDF/DOCX/PPTX/TXT/MD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0FCA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来源入库并可查看片段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3120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可完成导入与查看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9870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7112F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0BD8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TC-WEB-02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7138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网页候选导入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788E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搜索并导入网页候选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FFCC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获取正文或摘要降级结果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1047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显示来源质量状态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3B60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0E78A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52B63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TC-RAG-03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9737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来源问答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8C4B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基于已导入来源提问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89A7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返回回答与来源引用信息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8564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聊天区显示引用条目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E9B49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6D78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24F1E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TC-STU-04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BBAD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Studio 与反馈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1B58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生成资源并提交测验/闪卡结果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A14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资源可查看，画像建议更新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2758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可完成交互流程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4A89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413B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348A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TC-PPT-05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FDD7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演示文稿导出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48CA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生成并导出 PDF/PPTX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0323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浏览器下载导出文件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D787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PPTX 为图片版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73A5D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</w:tbl>
    <w:p w14:paraId="254D2C8A">
      <w:pPr>
        <w:pStyle w:val="170"/>
        <w:widowControl/>
      </w:pPr>
      <w:r>
        <w:t>表 7-1 系统核心功能用例集成回归测试走查矩阵</w:t>
      </w:r>
    </w:p>
    <w:p w14:paraId="3320F3AA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0" w:name="_Toc10700"/>
      <w:r>
        <w:rPr>
          <w:rFonts w:hint="eastAsia"/>
          <w:lang w:eastAsia="zh-CN"/>
        </w:rPr>
        <w:t xml:space="preserve">7.3 </w:t>
      </w:r>
      <w:r>
        <w:t>前后端联合非功能性与内容安全评测</w:t>
      </w:r>
      <w:bookmarkEnd w:id="30"/>
    </w:p>
    <w:p w14:paraId="49228727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2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t>内容安全与可靠性：Safety 模块对少量明显不安全的关键词进行基础拦截；模型提示词要求基于来源回答并区分来源依据和通用解释；网页抓取结果保留质量状态，便于学生识别摘要降级内容。网页抓取和模型调用均有降级路径，前端以流式与阶段提示减少等待不确定性；该原型不宣称达到生产级内容审核或高可用指标。</w:t>
      </w:r>
    </w:p>
    <w:p w14:paraId="290F972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2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性能说明：模型响应时延受模型服务、网络、来源长度和本机环境影响。当前验证重点为功能正确性、加载状态和降级流程，不给出未经独立压测的固定延迟、并发量或帧率结论。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</w:p>
    <w:p w14:paraId="7E278D5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7.4 </w:t>
      </w:r>
      <w:r>
        <w:t>真实高校学生伴学实操消融对比评估报告</w:t>
      </w:r>
      <w:bookmarkEnd w:id="31"/>
    </w:p>
    <w:p w14:paraId="48D791FC">
      <w:pPr>
        <w:pStyle w:val="19"/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t>演示场景验证：使用计算机网络课程种子知识、本地课程文件、网页来源和可获取的课堂转写进行端到端演示，完整展示“对话建画像—Agent 协同处理—来源问答/资源生成—测验与闪卡反馈—路径再建议”的闭环；同时验证来源引用、公式 Markdown 渲染、资源卡片与课堂片段跳转等可感知交互。</w:t>
      </w:r>
    </w:p>
    <w:p w14:paraId="5C3F8E3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教育效果评估属于后续工作。本 V1 尚未开展具有统计学结论的学生对照实验，因此不在本文中使用学习成绩提升或时间节省等量化结论。</w:t>
      </w:r>
    </w:p>
    <w:p w14:paraId="0A4EA7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FCF90F9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32" w:name="_Toc28163"/>
      <w:r>
        <w:rPr>
          <w:rFonts w:hint="eastAsia"/>
          <w:lang w:eastAsia="zh-CN"/>
        </w:rPr>
        <w:t>第八章：</w:t>
      </w:r>
      <w:r>
        <w:t>开源合规与 AI Coding 开发辅助说明</w:t>
      </w:r>
      <w:bookmarkEnd w:id="32"/>
    </w:p>
    <w:p w14:paraId="79C6CDB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3" w:name="_Toc13740"/>
      <w:r>
        <w:rPr>
          <w:rFonts w:hint="eastAsia"/>
          <w:lang w:eastAsia="zh-CN"/>
        </w:rPr>
        <w:t xml:space="preserve">8.1 </w:t>
      </w:r>
      <w:r>
        <w:t>引入开源项目、工具及协议合规标注</w:t>
      </w:r>
      <w:bookmarkEnd w:id="33"/>
    </w:p>
    <w:p w14:paraId="018ED7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bookmarkStart w:id="34" w:name="_Toc16114"/>
      <w:r>
        <w:rPr>
          <w:rFonts w:hint="eastAsia" w:ascii="宋体" w:hAnsi="宋体" w:eastAsia="宋体" w:cs="宋体"/>
          <w:color w:val="303030"/>
          <w:spacing w:val="0"/>
          <w:kern w:val="0"/>
          <w:sz w:val="24"/>
          <w:szCs w:val="24"/>
          <w:lang w:val="en-US" w:eastAsia="zh-CN" w:bidi="ar"/>
          <w:woUserID w:val="1"/>
        </w:rPr>
        <w:t>项目使用的开源依赖和用途如下。第三方服务与后续规划技术会单独标注，避免与当前运行依赖混淆。</w:t>
      </w:r>
    </w:p>
    <w:p w14:paraId="07DD02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1. Next.js、React、TypeScript、Tailwind CSS：前端工作台与样式系统，遵循各自开源许可证。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510312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2. html-to-image、jsPDF、PptxGenJS、KaTeX：浏览器端页面导出、演示文稿导出和数学公式渲染。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7F7DC2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3. FastAPI、Uvicorn、Pydantic：后端 API、服务运行和数据模型校验。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366394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4. pdfplumber、python-docx、python-pptx、Pillow、Trafilatura：PDF、DOCX、PPTX、图片文件支持和网页正文抽取。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2D4204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5. LangGraph、PostgreSQL + pgvector、PaddleOCR、LiteLLM：当前作为 V2 可选演进方案，不属于 V1 运行依赖。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2F153A3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8.2 </w:t>
      </w:r>
      <w:r>
        <w:t>AI Coding 辅助开发工具及协同说明</w:t>
      </w:r>
      <w:bookmarkEnd w:id="34"/>
    </w:p>
    <w:p w14:paraId="597674C9">
      <w:pPr>
        <w:pStyle w:val="33"/>
        <w:keepNext w:val="0"/>
        <w:keepLines w:val="0"/>
        <w:widowControl/>
        <w:suppressLineNumbers w:val="0"/>
        <w:ind w:firstLine="480" w:firstLineChars="20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bookmarkStart w:id="35" w:name="_Toc11339"/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项目在需求梳理、界面迭代、代码检查和文档校对过程中使用 AI Coding 工具进行辅助。AI 产出由项目成员审阅、修改和测试后再纳入项目。</w:t>
      </w:r>
    </w:p>
    <w:p w14:paraId="65666C9E">
      <w:pPr>
        <w:pStyle w:val="33"/>
        <w:keepNext w:val="0"/>
        <w:keepLines w:val="0"/>
        <w:widowControl/>
        <w:suppressLineNumbers w:val="0"/>
        <w:ind w:left="0" w:leftChars="0" w:firstLine="0" w:firstLineChars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1. 协作边界：AI 用于生成候选实现、解释报错、辅助重构和文档校对；架构取舍、功能验收、测试执行和最终提交由项目成员负责。</w:t>
      </w:r>
    </w:p>
    <w:p w14:paraId="17F203C8">
      <w:pPr>
        <w:pStyle w:val="33"/>
        <w:keepNext w:val="0"/>
        <w:keepLines w:val="0"/>
        <w:widowControl/>
        <w:suppressLineNumbers w:val="0"/>
        <w:ind w:firstLine="480" w:firstLineChars="20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本文不以 AI 工具替代人工测试，也不宣称未经保存的性能优化、测试覆盖率或第三方实验结果。</w:t>
      </w:r>
    </w:p>
    <w:p w14:paraId="0B898E9B">
      <w:pPr>
        <w:pStyle w:val="33"/>
        <w:keepNext w:val="0"/>
        <w:keepLines w:val="0"/>
        <w:widowControl/>
        <w:suppressLineNumbers w:val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</w:p>
    <w:p w14:paraId="0BF3196D">
      <w:pPr>
        <w:pStyle w:val="33"/>
        <w:keepNext w:val="0"/>
        <w:keepLines w:val="0"/>
        <w:widowControl/>
        <w:suppressLineNumbers w:val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2. 工程质量：项目成员对关键交互、接口返回和演示流程进行人工复核，并通过后端编译检查、前端 lint 与 build 验证基础工程质量。</w:t>
      </w:r>
    </w:p>
    <w:p w14:paraId="5F7E9CA3">
      <w:pPr>
        <w:pStyle w:val="33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后续将逐步补充自动化测试、性能基线和多用户持久化能力。</w:t>
      </w:r>
    </w:p>
    <w:p w14:paraId="600C8F1A">
      <w:pPr>
        <w:keepNext w:val="0"/>
        <w:keepLines w:val="0"/>
        <w:widowControl/>
        <w:suppressLineNumbers w:val="0"/>
        <w:jc w:val="left"/>
        <w:rPr>
          <w:woUserID w:val="1"/>
        </w:rPr>
      </w:pPr>
    </w:p>
    <w:p w14:paraId="52A2C49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8.3 </w:t>
      </w:r>
      <w:r>
        <w:t>总结与初赛作品提交说明</w:t>
      </w:r>
      <w:bookmarkEnd w:id="35"/>
    </w:p>
    <w:p w14:paraId="5F8997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综上，NetNote V1 已完成面向计算机网络学习的来源导入、轻量 RAG 问答、动态学习画像、职责型多 Agent 协同、不少于 5 类的学习资源生成、学习反馈、网页资料补充和课堂转写联动等能力。作品以“</w:t>
      </w:r>
      <w:r>
        <w:rPr>
          <w:b/>
        </w:rPr>
        <w:t>【一库多用、画像驱动、证据可追溯、过程可视化、反馈可闭环】</w:t>
      </w:r>
      <w:r>
        <w:t>”为突出特色，直接回应 A3 赛题关于对话式画像、多智能体协同、个性化资源生成、学习路径与安全交互的核心要求；向量检索、OCR、显式智能体图编排和大规模效果评估作为后续迭代方向。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656" w:bottom="1440" w:left="1656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5A9AB24-D344-4EE8-8C7F-64E0FCBAF3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42E8926F-14FA-424B-8224-F93184CEA32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A350A66-F2FE-461E-9FD1-BE388C4FB32B}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4" w:fontKey="{C56A6263-952B-4812-8FED-1CC77B68AF9D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3B1D86C4-91A7-48FB-8D67-551663EC3C6B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6" w:fontKey="{DB087385-CA7B-4C50-AD91-0B388D38F538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7" w:fontKey="{F299F537-14EB-4C39-AF98-DD72322C630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8" w:fontKey="{3E6925A6-C05D-4E5F-87AD-11BAECFAD265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  <w:embedRegular r:id="rId9" w:fontKey="{7E39D04E-F1C6-42E7-94A9-F44EC26B837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7884124E-E96B-4DCC-8406-334F4279D4B9}"/>
  </w:font>
  <w:font w:name="Google Sans Tex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AFF3AEDF-5B45-455E-BABD-C25B043B3837}"/>
  </w:font>
  <w:font w:name="Google Sans Cod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2" w:fontKey="{FA673C4E-405A-4642-9D38-1F15B2578C41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13" w:fontKey="{0D601240-6AC0-46FB-BE16-7C34D9D11C18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F8C8A">
    <w:pPr>
      <w:pStyle w:val="2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1C93CE">
                          <w:pPr>
                            <w:pStyle w:val="2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1C93CE">
                    <w:pPr>
                      <w:pStyle w:val="2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1EEFD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2B0D1">
    <w:pPr>
      <w:pStyle w:val="26"/>
      <w:jc w:val="right"/>
    </w:pPr>
    <w:r>
      <w:rPr>
        <w:rFonts w:ascii="微软雅黑" w:hAnsi="微软雅黑"/>
        <w:color w:val="808080"/>
        <w:sz w:val="17"/>
      </w:rPr>
      <w:t>第十五届“中国软件杯”A3赛题参赛作品说明书 | NetNote 开发说明书与测试报告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B13F3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FFA9624"/>
    <w:multiLevelType w:val="singleLevel"/>
    <w:tmpl w:val="5FFA962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  <w:rsid w:val="DBD98DC3"/>
    <w:rsid w:val="EBFB3613"/>
    <w:rsid w:val="EDD42D34"/>
    <w:rsid w:val="F2FBF61B"/>
    <w:rsid w:val="F72F5A8D"/>
    <w:rsid w:val="FAFF7AD2"/>
    <w:rsid w:val="FD3D0007"/>
    <w:rsid w:val="FE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4">
    <w:name w:val="heading 2"/>
    <w:basedOn w:val="1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qFormat/>
    <w:uiPriority w:val="39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qFormat/>
    <w:uiPriority w:val="3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qFormat/>
    <w:uiPriority w:val="3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next w:val="1"/>
    <w:qFormat/>
    <w:uiPriority w:val="1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TML Code"/>
    <w:basedOn w:val="13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0">
    <w:name w:val="Header Char"/>
    <w:basedOn w:val="136"/>
    <w:link w:val="26"/>
    <w:qFormat/>
    <w:uiPriority w:val="99"/>
  </w:style>
  <w:style w:type="character" w:customStyle="1" w:styleId="141">
    <w:name w:val="Footer Char"/>
    <w:basedOn w:val="136"/>
    <w:link w:val="25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4">
    <w:name w:val="Heading 2 Char"/>
    <w:basedOn w:val="136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qFormat/>
    <w:uiPriority w:val="99"/>
  </w:style>
  <w:style w:type="character" w:customStyle="1" w:styleId="150">
    <w:name w:val="Body Text 2 Char"/>
    <w:basedOn w:val="136"/>
    <w:link w:val="31"/>
    <w:qFormat/>
    <w:uiPriority w:val="99"/>
  </w:style>
  <w:style w:type="character" w:customStyle="1" w:styleId="151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 New" w:hAnsi="Courier New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7">
    <w:name w:val="Heading 6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8">
    <w:name w:val="Heading 7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170">
    <w:name w:val="表格标题"/>
    <w:next w:val="1"/>
    <w:qFormat/>
    <w:uiPriority w:val="0"/>
    <w:pPr>
      <w:widowControl w:val="0"/>
      <w:adjustRightInd w:val="0"/>
      <w:spacing w:before="50" w:beforeLines="50" w:after="50" w:afterLines="5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21"/>
      <w:szCs w:val="21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6202</Words>
  <Characters>8209</Characters>
  <Lines>1</Lines>
  <Paragraphs>1</Paragraphs>
  <TotalTime>15</TotalTime>
  <ScaleCrop>false</ScaleCrop>
  <LinksUpToDate>false</LinksUpToDate>
  <CharactersWithSpaces>8732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张伦诩</cp:lastModifiedBy>
  <dcterms:modified xsi:type="dcterms:W3CDTF">2026-07-16T07:38:51Z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